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5498" w14:textId="77777777" w:rsidR="00D8067A" w:rsidRDefault="00D8067A" w:rsidP="00582231">
      <w:pPr>
        <w:spacing w:after="160"/>
      </w:pPr>
    </w:p>
    <w:p w14:paraId="4393C010" w14:textId="2E013AA2" w:rsidR="00DC665F" w:rsidRDefault="00EB5D53" w:rsidP="00D253F3">
      <w:pPr>
        <w:pStyle w:val="Heading1"/>
        <w:spacing w:before="0"/>
        <w:ind w:left="1440" w:hanging="1440"/>
        <w:rPr>
          <w:rFonts w:ascii="Times New Roman" w:hAnsi="Times New Roman" w:cs="Times New Roman"/>
          <w:b/>
          <w:bCs/>
          <w:color w:val="auto"/>
          <w:sz w:val="24"/>
          <w:szCs w:val="24"/>
        </w:rPr>
      </w:pPr>
      <w:bookmarkStart w:id="0" w:name="_Hlk503601228"/>
      <w:r w:rsidRPr="00F000F2">
        <w:rPr>
          <w:rFonts w:ascii="Times New Roman" w:hAnsi="Times New Roman" w:cs="Times New Roman"/>
          <w:color w:val="auto"/>
          <w:sz w:val="24"/>
          <w:szCs w:val="24"/>
        </w:rPr>
        <w:t xml:space="preserve">Subject: </w:t>
      </w:r>
      <w:r w:rsidRPr="00F000F2">
        <w:rPr>
          <w:rFonts w:ascii="Times New Roman" w:hAnsi="Times New Roman" w:cs="Times New Roman"/>
          <w:color w:val="auto"/>
          <w:sz w:val="24"/>
          <w:szCs w:val="24"/>
        </w:rPr>
        <w:tab/>
      </w:r>
      <w:r w:rsidRPr="00DC665F">
        <w:rPr>
          <w:rFonts w:ascii="Times New Roman" w:hAnsi="Times New Roman" w:cs="Times New Roman"/>
          <w:b/>
          <w:bCs/>
          <w:color w:val="auto"/>
          <w:sz w:val="24"/>
          <w:szCs w:val="24"/>
        </w:rPr>
        <w:t>Appropriation for the Center of Excellence</w:t>
      </w:r>
      <w:bookmarkStart w:id="1" w:name="CENA"/>
      <w:bookmarkEnd w:id="1"/>
      <w:r w:rsidRPr="00DC665F">
        <w:rPr>
          <w:rFonts w:ascii="Times New Roman" w:hAnsi="Times New Roman" w:cs="Times New Roman"/>
          <w:b/>
          <w:bCs/>
          <w:color w:val="auto"/>
          <w:sz w:val="24"/>
          <w:szCs w:val="24"/>
        </w:rPr>
        <w:t xml:space="preserve"> in Nonvisual Accessibility (CENA) to Education, Public Information, and Commerce</w:t>
      </w:r>
    </w:p>
    <w:p w14:paraId="4310714E" w14:textId="77777777" w:rsidR="00D253F3" w:rsidRPr="00D253F3" w:rsidRDefault="00D253F3" w:rsidP="00D253F3"/>
    <w:p w14:paraId="5EC44BAE" w14:textId="77777777" w:rsidR="00EB5D53" w:rsidRPr="00675BE7" w:rsidRDefault="00EB5D53" w:rsidP="00DC665F">
      <w:pPr>
        <w:spacing w:after="160"/>
        <w:rPr>
          <w:rFonts w:ascii="Times New Roman" w:hAnsi="Times New Roman"/>
          <w:bCs/>
          <w:sz w:val="24"/>
        </w:rPr>
      </w:pPr>
      <w:r w:rsidRPr="00675BE7">
        <w:rPr>
          <w:rFonts w:ascii="Times New Roman" w:hAnsi="Times New Roman"/>
          <w:sz w:val="24"/>
        </w:rPr>
        <w:t xml:space="preserve">From: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National Federation of the Blind of Maryland</w:t>
      </w:r>
    </w:p>
    <w:p w14:paraId="2B9846E0" w14:textId="77777777" w:rsidR="00EB5D53" w:rsidRPr="00675BE7" w:rsidRDefault="00EB5D53" w:rsidP="00EB5D53">
      <w:pPr>
        <w:spacing w:after="160"/>
        <w:rPr>
          <w:rFonts w:ascii="Times New Roman" w:hAnsi="Times New Roman"/>
          <w:bCs/>
          <w:sz w:val="24"/>
        </w:rPr>
      </w:pPr>
      <w:r w:rsidRPr="00675BE7">
        <w:rPr>
          <w:rFonts w:ascii="Times New Roman" w:hAnsi="Times New Roman"/>
          <w:sz w:val="24"/>
        </w:rPr>
        <w:t xml:space="preserve">To: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Maryland General Assembly</w:t>
      </w:r>
    </w:p>
    <w:p w14:paraId="095F5686" w14:textId="6F269A1E" w:rsidR="00000B48" w:rsidRPr="00815623" w:rsidRDefault="00EB5D53" w:rsidP="00D253F3">
      <w:pPr>
        <w:ind w:left="1440" w:hanging="1440"/>
        <w:rPr>
          <w:rFonts w:ascii="Times New Roman" w:hAnsi="Times New Roman"/>
          <w:sz w:val="24"/>
        </w:rPr>
      </w:pPr>
      <w:r w:rsidRPr="00675BE7">
        <w:rPr>
          <w:rFonts w:ascii="Times New Roman" w:hAnsi="Times New Roman"/>
          <w:sz w:val="24"/>
        </w:rPr>
        <w:t>Contact:</w:t>
      </w:r>
      <w:r w:rsidRPr="00675BE7">
        <w:rPr>
          <w:rFonts w:ascii="Times New Roman" w:hAnsi="Times New Roman"/>
          <w:sz w:val="24"/>
        </w:rPr>
        <w:tab/>
        <w:t>Ronza Othman, President</w:t>
      </w:r>
      <w:r w:rsidRPr="00675BE7">
        <w:rPr>
          <w:rFonts w:ascii="Times New Roman" w:hAnsi="Times New Roman"/>
          <w:sz w:val="24"/>
        </w:rPr>
        <w:br/>
        <w:t>National Federation of the Blind of Maryland</w:t>
      </w:r>
      <w:r w:rsidRPr="00675BE7">
        <w:rPr>
          <w:rFonts w:ascii="Times New Roman" w:hAnsi="Times New Roman"/>
          <w:sz w:val="24"/>
        </w:rPr>
        <w:br/>
        <w:t>15 Charles Plaza, #3002</w:t>
      </w:r>
      <w:r w:rsidRPr="00675BE7">
        <w:rPr>
          <w:rFonts w:ascii="Times New Roman" w:hAnsi="Times New Roman"/>
          <w:sz w:val="24"/>
        </w:rPr>
        <w:br/>
        <w:t>Baltimore, MD 21201</w:t>
      </w:r>
      <w:r w:rsidRPr="00675BE7">
        <w:rPr>
          <w:rFonts w:ascii="Times New Roman" w:hAnsi="Times New Roman"/>
          <w:sz w:val="24"/>
        </w:rPr>
        <w:br/>
        <w:t>Phone: 443-426-4110</w:t>
      </w:r>
      <w:r w:rsidRPr="00675BE7">
        <w:rPr>
          <w:rFonts w:ascii="Times New Roman" w:hAnsi="Times New Roman"/>
          <w:sz w:val="24"/>
        </w:rPr>
        <w:br/>
        <w:t xml:space="preserve">Email: </w:t>
      </w:r>
      <w:hyperlink r:id="rId8" w:history="1">
        <w:r w:rsidRPr="00675BE7">
          <w:rPr>
            <w:rStyle w:val="Hyperlink"/>
            <w:rFonts w:ascii="Times New Roman" w:hAnsi="Times New Roman"/>
            <w:sz w:val="24"/>
          </w:rPr>
          <w:t>President@nfbmd.org</w:t>
        </w:r>
      </w:hyperlink>
      <w:r w:rsidRPr="00675BE7">
        <w:rPr>
          <w:rFonts w:ascii="Times New Roman" w:hAnsi="Times New Roman"/>
          <w:sz w:val="24"/>
        </w:rPr>
        <w:t xml:space="preserve"> </w:t>
      </w:r>
    </w:p>
    <w:p w14:paraId="3EC0DE47" w14:textId="77777777" w:rsidR="00D253F3" w:rsidRDefault="00D253F3" w:rsidP="00D253F3">
      <w:pPr>
        <w:rPr>
          <w:rFonts w:ascii="Times New Roman" w:hAnsi="Times New Roman"/>
          <w:sz w:val="24"/>
        </w:rPr>
      </w:pPr>
    </w:p>
    <w:p w14:paraId="44FE58BB" w14:textId="468240A6" w:rsidR="002F6D3C" w:rsidRDefault="00EB5D53" w:rsidP="00F27179">
      <w:pPr>
        <w:rPr>
          <w:rFonts w:ascii="Times New Roman" w:hAnsi="Times New Roman"/>
          <w:sz w:val="24"/>
        </w:rPr>
      </w:pPr>
      <w:r w:rsidRPr="00815623">
        <w:rPr>
          <w:rFonts w:ascii="Times New Roman" w:hAnsi="Times New Roman"/>
          <w:sz w:val="24"/>
        </w:rPr>
        <w:t>Date: January 22, 2026</w:t>
      </w:r>
    </w:p>
    <w:p w14:paraId="57A7C673" w14:textId="77777777" w:rsidR="00F27179" w:rsidRDefault="00F27179" w:rsidP="00F27179">
      <w:pPr>
        <w:rPr>
          <w:rFonts w:ascii="Times New Roman" w:hAnsi="Times New Roman"/>
          <w:sz w:val="24"/>
        </w:rPr>
      </w:pPr>
    </w:p>
    <w:p w14:paraId="766DD98B" w14:textId="0800077E" w:rsidR="00EB5D53" w:rsidRPr="0005668C" w:rsidRDefault="00EB5D53" w:rsidP="0005668C">
      <w:pPr>
        <w:pStyle w:val="Heading2"/>
        <w:rPr>
          <w:rFonts w:ascii="Times New Roman" w:hAnsi="Times New Roman" w:cs="Times New Roman"/>
          <w:sz w:val="24"/>
          <w:szCs w:val="24"/>
        </w:rPr>
      </w:pPr>
      <w:r w:rsidRPr="0005668C">
        <w:rPr>
          <w:rFonts w:ascii="Times New Roman" w:hAnsi="Times New Roman" w:cs="Times New Roman"/>
          <w:sz w:val="24"/>
          <w:szCs w:val="24"/>
        </w:rPr>
        <w:t xml:space="preserve">PROPOSED ACTION </w:t>
      </w:r>
    </w:p>
    <w:p w14:paraId="486115C3" w14:textId="2C2663F0" w:rsidR="0042208C" w:rsidRPr="00675BE7" w:rsidRDefault="00EB5D53" w:rsidP="0042208C">
      <w:pPr>
        <w:spacing w:after="160"/>
        <w:rPr>
          <w:rFonts w:ascii="Times New Roman" w:hAnsi="Times New Roman"/>
          <w:sz w:val="24"/>
        </w:rPr>
      </w:pPr>
      <w:r w:rsidRPr="00675BE7">
        <w:rPr>
          <w:rFonts w:ascii="Times New Roman" w:hAnsi="Times New Roman"/>
          <w:sz w:val="24"/>
        </w:rPr>
        <w:t xml:space="preserve">The Maryland General Assembly should maintain the $250,000 appropriation for the Nonvisual Accessibility Initiative (NVAI) in the </w:t>
      </w:r>
      <w:r w:rsidR="001F1EA7">
        <w:rPr>
          <w:rFonts w:ascii="Times New Roman" w:hAnsi="Times New Roman"/>
          <w:sz w:val="24"/>
        </w:rPr>
        <w:t>G</w:t>
      </w:r>
      <w:r w:rsidRPr="00675BE7">
        <w:rPr>
          <w:rFonts w:ascii="Times New Roman" w:hAnsi="Times New Roman"/>
          <w:sz w:val="24"/>
        </w:rPr>
        <w:t xml:space="preserve">overnor’s </w:t>
      </w:r>
      <w:r w:rsidR="00022403">
        <w:rPr>
          <w:rFonts w:ascii="Times New Roman" w:hAnsi="Times New Roman"/>
          <w:sz w:val="24"/>
        </w:rPr>
        <w:t>B</w:t>
      </w:r>
      <w:r w:rsidRPr="00675BE7">
        <w:rPr>
          <w:rFonts w:ascii="Times New Roman" w:hAnsi="Times New Roman"/>
          <w:sz w:val="24"/>
        </w:rPr>
        <w:t xml:space="preserve">udget to support the Center of Excellence in Nonvisual Accessibility (CENA) to Education, Public Information, and Commerce. </w:t>
      </w:r>
    </w:p>
    <w:p w14:paraId="335AAC2B" w14:textId="042C16D0" w:rsidR="00EB5D53" w:rsidRPr="0042208C" w:rsidRDefault="00EB5D53" w:rsidP="0042208C">
      <w:pPr>
        <w:pStyle w:val="Heading2"/>
        <w:rPr>
          <w:rFonts w:ascii="Times New Roman" w:hAnsi="Times New Roman" w:cs="Times New Roman"/>
          <w:sz w:val="24"/>
          <w:szCs w:val="24"/>
        </w:rPr>
      </w:pPr>
      <w:r w:rsidRPr="0042208C">
        <w:rPr>
          <w:rFonts w:ascii="Times New Roman" w:hAnsi="Times New Roman" w:cs="Times New Roman"/>
          <w:sz w:val="24"/>
          <w:szCs w:val="24"/>
        </w:rPr>
        <w:t xml:space="preserve">BACKGROUND </w:t>
      </w:r>
    </w:p>
    <w:p w14:paraId="388BCB0F" w14:textId="59A901CC" w:rsidR="00EB5D53" w:rsidRPr="00675BE7" w:rsidRDefault="00EB5D53" w:rsidP="0042208C">
      <w:pPr>
        <w:spacing w:after="160"/>
        <w:rPr>
          <w:rFonts w:ascii="Times New Roman" w:hAnsi="Times New Roman"/>
          <w:sz w:val="24"/>
        </w:rPr>
      </w:pPr>
      <w:r w:rsidRPr="00675BE7">
        <w:rPr>
          <w:rFonts w:ascii="Times New Roman" w:hAnsi="Times New Roman"/>
          <w:sz w:val="24"/>
        </w:rPr>
        <w:t>In 2014, the National Federation of the Blind (NFB) founded the NFB Center of Excellence in Nonvisual Accessibility (CENA) as a center of expertise, best practices, and resources that enable business, government, and educational institutions to provide accessible information and services effectively to blind citizens.</w:t>
      </w:r>
      <w:r w:rsidR="00FF18FE">
        <w:rPr>
          <w:rFonts w:ascii="Times New Roman" w:hAnsi="Times New Roman"/>
          <w:sz w:val="24"/>
        </w:rPr>
        <w:t xml:space="preserve">  </w:t>
      </w:r>
      <w:r w:rsidRPr="00675BE7">
        <w:rPr>
          <w:rFonts w:ascii="Times New Roman" w:hAnsi="Times New Roman"/>
          <w:sz w:val="24"/>
        </w:rPr>
        <w:t xml:space="preserve">The </w:t>
      </w:r>
      <w:r w:rsidR="00225E00">
        <w:rPr>
          <w:rFonts w:ascii="Times New Roman" w:hAnsi="Times New Roman"/>
          <w:sz w:val="24"/>
        </w:rPr>
        <w:t>s</w:t>
      </w:r>
      <w:r w:rsidRPr="00675BE7">
        <w:rPr>
          <w:rFonts w:ascii="Times New Roman" w:hAnsi="Times New Roman"/>
          <w:sz w:val="24"/>
        </w:rPr>
        <w:t xml:space="preserve">tate of Maryland, through the Maryland Department of Disabilities (MDOD), partners with CENA to support a series of projects under the NVAI, maintaining the state of Maryland as an ongoing leader in nonvisual accessibility. </w:t>
      </w:r>
    </w:p>
    <w:p w14:paraId="3A142146" w14:textId="47A28BBD" w:rsidR="00EB5D53" w:rsidRPr="005C30C5" w:rsidRDefault="00EB5D53" w:rsidP="00EB5D53">
      <w:pPr>
        <w:rPr>
          <w:rFonts w:ascii="Times New Roman" w:hAnsi="Times New Roman"/>
          <w:sz w:val="24"/>
        </w:rPr>
      </w:pPr>
      <w:r w:rsidRPr="005C30C5">
        <w:rPr>
          <w:rFonts w:ascii="Times New Roman" w:hAnsi="Times New Roman"/>
          <w:sz w:val="24"/>
        </w:rPr>
        <w:t>The partnership between the NFB CENA and MDOD continues to improve the standard of accessibility throughout the state, and our collaboration will continue to build a more accessible Maryland through the development and implementation of a variety of projects within the following five focus areas</w:t>
      </w:r>
      <w:r w:rsidR="00603688">
        <w:rPr>
          <w:rFonts w:ascii="Times New Roman" w:hAnsi="Times New Roman"/>
          <w:sz w:val="24"/>
        </w:rPr>
        <w:t>:</w:t>
      </w:r>
      <w:r w:rsidRPr="005C30C5">
        <w:rPr>
          <w:rFonts w:ascii="Times New Roman" w:hAnsi="Times New Roman"/>
          <w:sz w:val="24"/>
        </w:rPr>
        <w:t xml:space="preserve"> </w:t>
      </w:r>
    </w:p>
    <w:p w14:paraId="314D5AA4" w14:textId="77777777" w:rsidR="00EB5D53" w:rsidRPr="005C30C5" w:rsidRDefault="00EB5D53" w:rsidP="00EB5D53">
      <w:pPr>
        <w:rPr>
          <w:rFonts w:ascii="Times New Roman" w:hAnsi="Times New Roman"/>
          <w:sz w:val="24"/>
        </w:rPr>
      </w:pPr>
    </w:p>
    <w:p w14:paraId="7F9B01BE" w14:textId="7522D483" w:rsidR="00EB5D53" w:rsidRPr="00C855EC" w:rsidRDefault="00EB5D53" w:rsidP="00F50F52">
      <w:pPr>
        <w:pStyle w:val="Heading3"/>
        <w:numPr>
          <w:ilvl w:val="0"/>
          <w:numId w:val="4"/>
        </w:numPr>
        <w:rPr>
          <w:rFonts w:ascii="Times New Roman" w:hAnsi="Times New Roman" w:cs="Times New Roman"/>
          <w:b/>
          <w:bCs/>
        </w:rPr>
      </w:pPr>
      <w:r w:rsidRPr="00C855EC">
        <w:rPr>
          <w:rFonts w:ascii="Times New Roman" w:hAnsi="Times New Roman" w:cs="Times New Roman"/>
          <w:b/>
          <w:bCs/>
          <w:color w:val="auto"/>
        </w:rPr>
        <w:t>Enhancing Access to Education Technology and Strategies</w:t>
      </w:r>
    </w:p>
    <w:p w14:paraId="62090925" w14:textId="77777777" w:rsidR="00E10433" w:rsidRDefault="00EB5D53" w:rsidP="00EB5D53">
      <w:pPr>
        <w:ind w:left="360"/>
        <w:rPr>
          <w:rFonts w:ascii="Times New Roman" w:hAnsi="Times New Roman"/>
          <w:sz w:val="24"/>
        </w:rPr>
      </w:pPr>
      <w:r w:rsidRPr="005C30C5">
        <w:rPr>
          <w:rFonts w:ascii="Times New Roman" w:hAnsi="Times New Roman"/>
          <w:sz w:val="24"/>
        </w:rPr>
        <w:t>In this age of electronic devices, Braille is more vibrant and relevant than ever.</w:t>
      </w:r>
      <w:r w:rsidR="007159C9">
        <w:rPr>
          <w:rFonts w:ascii="Times New Roman" w:hAnsi="Times New Roman"/>
          <w:sz w:val="24"/>
        </w:rPr>
        <w:t xml:space="preserve"> </w:t>
      </w:r>
      <w:r w:rsidRPr="005C30C5">
        <w:rPr>
          <w:rFonts w:ascii="Times New Roman" w:hAnsi="Times New Roman"/>
          <w:sz w:val="24"/>
        </w:rPr>
        <w:t xml:space="preserve"> Equipping blind children with Braille skills sets them up for a lifetime of independence and opportunity through literacy.</w:t>
      </w:r>
      <w:r w:rsidR="007159C9">
        <w:rPr>
          <w:rFonts w:ascii="Times New Roman" w:hAnsi="Times New Roman"/>
          <w:sz w:val="24"/>
        </w:rPr>
        <w:t xml:space="preserve">  </w:t>
      </w:r>
      <w:r w:rsidRPr="005C30C5">
        <w:rPr>
          <w:rFonts w:ascii="Times New Roman" w:hAnsi="Times New Roman"/>
          <w:sz w:val="24"/>
        </w:rPr>
        <w:t>Due to technical limitations, traditional electronic Braille devices used by students are only capable of</w:t>
      </w:r>
    </w:p>
    <w:p w14:paraId="789ED0C1" w14:textId="362D4228" w:rsidR="00EB5D53" w:rsidRPr="005C30C5" w:rsidRDefault="00EB5D53" w:rsidP="00EB5D53">
      <w:pPr>
        <w:ind w:left="360"/>
        <w:rPr>
          <w:rFonts w:ascii="Times New Roman" w:hAnsi="Times New Roman"/>
          <w:sz w:val="24"/>
        </w:rPr>
      </w:pPr>
      <w:r w:rsidRPr="005C30C5">
        <w:rPr>
          <w:rFonts w:ascii="Times New Roman" w:hAnsi="Times New Roman"/>
          <w:sz w:val="24"/>
        </w:rPr>
        <w:t>displaying one line of Braille at a time.</w:t>
      </w:r>
      <w:r w:rsidR="00E10433">
        <w:rPr>
          <w:rFonts w:ascii="Times New Roman" w:hAnsi="Times New Roman"/>
          <w:sz w:val="24"/>
        </w:rPr>
        <w:t xml:space="preserve">  </w:t>
      </w:r>
      <w:r w:rsidRPr="005C30C5">
        <w:rPr>
          <w:rFonts w:ascii="Times New Roman" w:hAnsi="Times New Roman"/>
          <w:sz w:val="24"/>
        </w:rPr>
        <w:t>This makes such devices incapable of displaying graphics, and unsuitable for reading math and tabular data.</w:t>
      </w:r>
    </w:p>
    <w:p w14:paraId="15D74B13" w14:textId="77777777" w:rsidR="00022403" w:rsidRDefault="00022403" w:rsidP="00C87AC1">
      <w:pPr>
        <w:ind w:left="360"/>
        <w:rPr>
          <w:rFonts w:ascii="Times New Roman" w:hAnsi="Times New Roman"/>
          <w:sz w:val="24"/>
        </w:rPr>
      </w:pPr>
    </w:p>
    <w:p w14:paraId="5CD23582" w14:textId="492C6EE9" w:rsidR="00EB5D53" w:rsidRPr="005C30C5" w:rsidRDefault="00EB5D53" w:rsidP="00C87AC1">
      <w:pPr>
        <w:ind w:left="360"/>
        <w:rPr>
          <w:rFonts w:ascii="Times New Roman" w:hAnsi="Times New Roman"/>
          <w:sz w:val="24"/>
        </w:rPr>
      </w:pPr>
      <w:r w:rsidRPr="005C30C5">
        <w:rPr>
          <w:rFonts w:ascii="Times New Roman" w:hAnsi="Times New Roman"/>
          <w:sz w:val="24"/>
        </w:rPr>
        <w:t xml:space="preserve">Thanks to technological breakthroughs, manufacturers have now overcome these limitations. </w:t>
      </w:r>
      <w:r w:rsidR="005E2D85">
        <w:rPr>
          <w:rFonts w:ascii="Times New Roman" w:hAnsi="Times New Roman"/>
          <w:sz w:val="24"/>
        </w:rPr>
        <w:t xml:space="preserve"> </w:t>
      </w:r>
      <w:r w:rsidRPr="005C30C5">
        <w:rPr>
          <w:rFonts w:ascii="Times New Roman" w:hAnsi="Times New Roman"/>
          <w:sz w:val="24"/>
        </w:rPr>
        <w:t xml:space="preserve">Products are </w:t>
      </w:r>
      <w:r w:rsidR="005E2D85">
        <w:rPr>
          <w:rFonts w:ascii="Times New Roman" w:hAnsi="Times New Roman"/>
          <w:sz w:val="24"/>
        </w:rPr>
        <w:t>finally</w:t>
      </w:r>
      <w:r w:rsidRPr="005C30C5">
        <w:rPr>
          <w:rFonts w:ascii="Times New Roman" w:hAnsi="Times New Roman"/>
          <w:sz w:val="24"/>
        </w:rPr>
        <w:t xml:space="preserve"> available that permit the display of multiline Braille on devices </w:t>
      </w:r>
      <w:proofErr w:type="gramStart"/>
      <w:r w:rsidRPr="005C30C5">
        <w:rPr>
          <w:rFonts w:ascii="Times New Roman" w:hAnsi="Times New Roman"/>
          <w:sz w:val="24"/>
        </w:rPr>
        <w:t>similar to</w:t>
      </w:r>
      <w:proofErr w:type="gramEnd"/>
      <w:r w:rsidRPr="005C30C5">
        <w:rPr>
          <w:rFonts w:ascii="Times New Roman" w:hAnsi="Times New Roman"/>
          <w:sz w:val="24"/>
        </w:rPr>
        <w:t xml:space="preserve"> the tablets </w:t>
      </w:r>
      <w:proofErr w:type="gramStart"/>
      <w:r w:rsidRPr="005C30C5">
        <w:rPr>
          <w:rFonts w:ascii="Times New Roman" w:hAnsi="Times New Roman"/>
          <w:sz w:val="24"/>
        </w:rPr>
        <w:t>sighted</w:t>
      </w:r>
      <w:proofErr w:type="gramEnd"/>
      <w:r w:rsidRPr="005C30C5">
        <w:rPr>
          <w:rFonts w:ascii="Times New Roman" w:hAnsi="Times New Roman"/>
          <w:sz w:val="24"/>
        </w:rPr>
        <w:t xml:space="preserve"> students use.</w:t>
      </w:r>
      <w:r w:rsidR="00C87AC1">
        <w:rPr>
          <w:rFonts w:ascii="Times New Roman" w:hAnsi="Times New Roman"/>
          <w:sz w:val="24"/>
        </w:rPr>
        <w:t xml:space="preserve">  </w:t>
      </w:r>
      <w:r w:rsidRPr="005C30C5">
        <w:rPr>
          <w:rFonts w:ascii="Times New Roman" w:hAnsi="Times New Roman"/>
          <w:sz w:val="24"/>
        </w:rPr>
        <w:t>With the appropriate technology, students can interact with tactile graphics, and teachers can draw on a standard tablet with that drawing instantly appearing on the surface of a tactile tablet for a blind student.</w:t>
      </w:r>
      <w:r w:rsidR="00E46AE3">
        <w:rPr>
          <w:rFonts w:ascii="Times New Roman" w:hAnsi="Times New Roman"/>
          <w:sz w:val="24"/>
        </w:rPr>
        <w:t xml:space="preserve">  </w:t>
      </w:r>
      <w:r w:rsidRPr="009600AD">
        <w:rPr>
          <w:rFonts w:ascii="Times New Roman" w:hAnsi="Times New Roman"/>
          <w:sz w:val="24"/>
        </w:rPr>
        <w:t>Electronic textbooks can be distributed to the student immediately, and read in full-page Braille, as if they were reading the physical book.</w:t>
      </w:r>
      <w:r w:rsidR="009600AD">
        <w:rPr>
          <w:rFonts w:ascii="Times New Roman" w:hAnsi="Times New Roman"/>
          <w:sz w:val="24"/>
        </w:rPr>
        <w:t xml:space="preserve">  </w:t>
      </w:r>
      <w:r w:rsidRPr="005C30C5">
        <w:rPr>
          <w:rFonts w:ascii="Times New Roman" w:hAnsi="Times New Roman"/>
          <w:sz w:val="24"/>
        </w:rPr>
        <w:t xml:space="preserve">This technology has the potential to improve educational outcomes dramatically, particularly participation by blind Marylanders in </w:t>
      </w:r>
      <w:r w:rsidR="002F1864">
        <w:rPr>
          <w:rFonts w:ascii="Times New Roman" w:hAnsi="Times New Roman"/>
          <w:sz w:val="24"/>
        </w:rPr>
        <w:t>STEM</w:t>
      </w:r>
      <w:r w:rsidRPr="005C30C5">
        <w:rPr>
          <w:rFonts w:ascii="Times New Roman" w:hAnsi="Times New Roman"/>
          <w:sz w:val="24"/>
        </w:rPr>
        <w:t xml:space="preserve"> subjects.</w:t>
      </w:r>
      <w:r w:rsidR="009D63D5">
        <w:rPr>
          <w:rFonts w:ascii="Times New Roman" w:hAnsi="Times New Roman"/>
          <w:sz w:val="24"/>
        </w:rPr>
        <w:t xml:space="preserve">  </w:t>
      </w:r>
      <w:r w:rsidRPr="005C30C5">
        <w:rPr>
          <w:rFonts w:ascii="Times New Roman" w:hAnsi="Times New Roman"/>
          <w:sz w:val="24"/>
        </w:rPr>
        <w:t xml:space="preserve">However, </w:t>
      </w:r>
      <w:r w:rsidR="00C04B8E">
        <w:rPr>
          <w:rFonts w:ascii="Times New Roman" w:hAnsi="Times New Roman"/>
          <w:sz w:val="24"/>
        </w:rPr>
        <w:t>it</w:t>
      </w:r>
      <w:r w:rsidRPr="005C30C5">
        <w:rPr>
          <w:rFonts w:ascii="Times New Roman" w:hAnsi="Times New Roman"/>
          <w:sz w:val="24"/>
        </w:rPr>
        <w:t xml:space="preserve"> is in its early stages so requires rigorous evaluation, as well as </w:t>
      </w:r>
      <w:proofErr w:type="gramStart"/>
      <w:r w:rsidRPr="005C30C5">
        <w:rPr>
          <w:rFonts w:ascii="Times New Roman" w:hAnsi="Times New Roman"/>
          <w:sz w:val="24"/>
        </w:rPr>
        <w:t>information sharing</w:t>
      </w:r>
      <w:proofErr w:type="gramEnd"/>
      <w:r w:rsidRPr="005C30C5">
        <w:rPr>
          <w:rFonts w:ascii="Times New Roman" w:hAnsi="Times New Roman"/>
          <w:sz w:val="24"/>
        </w:rPr>
        <w:t xml:space="preserve"> with educators.</w:t>
      </w:r>
      <w:bookmarkStart w:id="2" w:name="OLE_LINK9"/>
      <w:r w:rsidR="006E32E3">
        <w:rPr>
          <w:rFonts w:ascii="Times New Roman" w:hAnsi="Times New Roman"/>
          <w:sz w:val="24"/>
        </w:rPr>
        <w:t xml:space="preserve">  </w:t>
      </w:r>
      <w:r w:rsidRPr="005C30C5">
        <w:rPr>
          <w:rFonts w:ascii="Times New Roman" w:hAnsi="Times New Roman"/>
          <w:sz w:val="24"/>
        </w:rPr>
        <w:t>CENA will develop modules on next-generation multiline Braille devices</w:t>
      </w:r>
      <w:r w:rsidR="003662BA">
        <w:rPr>
          <w:rFonts w:ascii="Times New Roman" w:hAnsi="Times New Roman"/>
          <w:sz w:val="24"/>
        </w:rPr>
        <w:t>,</w:t>
      </w:r>
      <w:r w:rsidRPr="005C30C5">
        <w:rPr>
          <w:rFonts w:ascii="Times New Roman" w:hAnsi="Times New Roman"/>
          <w:sz w:val="24"/>
        </w:rPr>
        <w:t xml:space="preserve"> aimed at educating teachers, parents, and those making procurement decisions.</w:t>
      </w:r>
      <w:r w:rsidR="006E32E3">
        <w:rPr>
          <w:rFonts w:ascii="Times New Roman" w:hAnsi="Times New Roman"/>
          <w:sz w:val="24"/>
        </w:rPr>
        <w:t xml:space="preserve">  </w:t>
      </w:r>
      <w:r w:rsidRPr="005C30C5">
        <w:rPr>
          <w:rFonts w:ascii="Times New Roman" w:hAnsi="Times New Roman"/>
          <w:sz w:val="24"/>
        </w:rPr>
        <w:t xml:space="preserve">The modules will explain why these developments are so impactful and demonstrate how </w:t>
      </w:r>
      <w:proofErr w:type="gramStart"/>
      <w:r w:rsidRPr="005C30C5">
        <w:rPr>
          <w:rFonts w:ascii="Times New Roman" w:hAnsi="Times New Roman"/>
          <w:sz w:val="24"/>
        </w:rPr>
        <w:t>the technology</w:t>
      </w:r>
      <w:proofErr w:type="gramEnd"/>
      <w:r w:rsidRPr="005C30C5">
        <w:rPr>
          <w:rFonts w:ascii="Times New Roman" w:hAnsi="Times New Roman"/>
          <w:sz w:val="24"/>
        </w:rPr>
        <w:t xml:space="preserve"> can be used in an educational setting.</w:t>
      </w:r>
    </w:p>
    <w:bookmarkEnd w:id="2"/>
    <w:p w14:paraId="075BB5C4" w14:textId="77777777" w:rsidR="00EB5D53" w:rsidRPr="005C30C5" w:rsidRDefault="00EB5D53" w:rsidP="00EB5D53">
      <w:pPr>
        <w:ind w:left="360"/>
        <w:rPr>
          <w:rFonts w:ascii="Times New Roman" w:hAnsi="Times New Roman"/>
          <w:sz w:val="24"/>
        </w:rPr>
      </w:pPr>
    </w:p>
    <w:p w14:paraId="6458C524" w14:textId="27A5CA95" w:rsidR="00EB5D53" w:rsidRPr="007C20FA" w:rsidRDefault="00EB5D53" w:rsidP="00953B5D">
      <w:pPr>
        <w:pStyle w:val="Heading3"/>
        <w:numPr>
          <w:ilvl w:val="0"/>
          <w:numId w:val="4"/>
        </w:numPr>
        <w:rPr>
          <w:rFonts w:ascii="Times New Roman" w:hAnsi="Times New Roman" w:cs="Times New Roman"/>
          <w:b/>
          <w:bCs/>
          <w:color w:val="auto"/>
        </w:rPr>
      </w:pPr>
      <w:r w:rsidRPr="007C20FA">
        <w:rPr>
          <w:rFonts w:ascii="Times New Roman" w:hAnsi="Times New Roman" w:cs="Times New Roman"/>
          <w:b/>
          <w:bCs/>
          <w:color w:val="auto"/>
        </w:rPr>
        <w:t>Enhanc</w:t>
      </w:r>
      <w:r w:rsidR="00953B5D">
        <w:rPr>
          <w:rFonts w:ascii="Times New Roman" w:hAnsi="Times New Roman" w:cs="Times New Roman"/>
          <w:b/>
          <w:bCs/>
          <w:color w:val="auto"/>
        </w:rPr>
        <w:t>ing</w:t>
      </w:r>
      <w:r w:rsidRPr="007C20FA">
        <w:rPr>
          <w:rFonts w:ascii="Times New Roman" w:hAnsi="Times New Roman" w:cs="Times New Roman"/>
          <w:b/>
          <w:bCs/>
          <w:color w:val="auto"/>
        </w:rPr>
        <w:t xml:space="preserve"> Access to Employment-Related Tools and Services</w:t>
      </w:r>
    </w:p>
    <w:p w14:paraId="51DE86A9" w14:textId="3BC6B46E" w:rsidR="00EB5D53" w:rsidRDefault="00EB5D53" w:rsidP="00F50F52">
      <w:pPr>
        <w:ind w:left="360"/>
        <w:rPr>
          <w:rFonts w:ascii="Times New Roman" w:hAnsi="Times New Roman"/>
          <w:sz w:val="24"/>
        </w:rPr>
      </w:pPr>
      <w:r w:rsidRPr="005C30C5">
        <w:rPr>
          <w:rFonts w:ascii="Times New Roman" w:hAnsi="Times New Roman"/>
          <w:sz w:val="24"/>
        </w:rPr>
        <w:t xml:space="preserve">Despite many blind people being ready and willing to work, the unemployment/underemployment rate for blind people in this country continues to exceed 70 percent. </w:t>
      </w:r>
      <w:r w:rsidR="00370E91">
        <w:rPr>
          <w:rFonts w:ascii="Times New Roman" w:hAnsi="Times New Roman"/>
          <w:sz w:val="24"/>
        </w:rPr>
        <w:t xml:space="preserve"> </w:t>
      </w:r>
      <w:r w:rsidRPr="005C30C5">
        <w:rPr>
          <w:rFonts w:ascii="Times New Roman" w:hAnsi="Times New Roman"/>
          <w:sz w:val="24"/>
        </w:rPr>
        <w:t xml:space="preserve">Through the NVAI partnership, CENA has a </w:t>
      </w:r>
      <w:r w:rsidR="002F0189">
        <w:rPr>
          <w:rFonts w:ascii="Times New Roman" w:hAnsi="Times New Roman"/>
          <w:sz w:val="24"/>
        </w:rPr>
        <w:t>strong</w:t>
      </w:r>
      <w:r w:rsidRPr="005C30C5">
        <w:rPr>
          <w:rFonts w:ascii="Times New Roman" w:hAnsi="Times New Roman"/>
          <w:sz w:val="24"/>
        </w:rPr>
        <w:t xml:space="preserve"> record of tackling some of the barriers blind Marylanders face when seeking employment.</w:t>
      </w:r>
      <w:r w:rsidR="00A0100E">
        <w:rPr>
          <w:rFonts w:ascii="Times New Roman" w:hAnsi="Times New Roman"/>
          <w:sz w:val="24"/>
        </w:rPr>
        <w:t xml:space="preserve">  </w:t>
      </w:r>
      <w:r w:rsidRPr="005C30C5">
        <w:rPr>
          <w:rFonts w:ascii="Times New Roman" w:hAnsi="Times New Roman"/>
          <w:sz w:val="24"/>
        </w:rPr>
        <w:t>In addition to our ongoing collaboration with the Maryland Department of Labor (MD DOL) and the Maryland Department of Rehabilitation Services (MD DORS)</w:t>
      </w:r>
      <w:r w:rsidR="002828C6">
        <w:rPr>
          <w:rFonts w:ascii="Times New Roman" w:hAnsi="Times New Roman"/>
          <w:sz w:val="24"/>
        </w:rPr>
        <w:t>,</w:t>
      </w:r>
      <w:r w:rsidRPr="005C30C5">
        <w:rPr>
          <w:rFonts w:ascii="Times New Roman" w:hAnsi="Times New Roman"/>
          <w:sz w:val="24"/>
        </w:rPr>
        <w:t xml:space="preserve"> which promotes the accessibility of employment-related services, CENA will identify software packages commonly used in the workplace</w:t>
      </w:r>
      <w:r w:rsidR="002828C6">
        <w:rPr>
          <w:rFonts w:ascii="Times New Roman" w:hAnsi="Times New Roman"/>
          <w:sz w:val="24"/>
        </w:rPr>
        <w:t xml:space="preserve"> that</w:t>
      </w:r>
      <w:r w:rsidRPr="005C30C5">
        <w:rPr>
          <w:rFonts w:ascii="Times New Roman" w:hAnsi="Times New Roman"/>
          <w:sz w:val="24"/>
        </w:rPr>
        <w:t xml:space="preserve"> are inaccessible to users of screen reading technology.</w:t>
      </w:r>
      <w:r w:rsidR="007D5527">
        <w:rPr>
          <w:rFonts w:ascii="Times New Roman" w:hAnsi="Times New Roman"/>
          <w:sz w:val="24"/>
        </w:rPr>
        <w:t xml:space="preserve"> </w:t>
      </w:r>
      <w:r w:rsidRPr="005C30C5">
        <w:rPr>
          <w:rFonts w:ascii="Times New Roman" w:hAnsi="Times New Roman"/>
          <w:sz w:val="24"/>
        </w:rPr>
        <w:t xml:space="preserve"> CENA will partner with the producers of such software to assist them in remedying these defects.</w:t>
      </w:r>
      <w:r w:rsidR="007D5527">
        <w:rPr>
          <w:rFonts w:ascii="Times New Roman" w:hAnsi="Times New Roman"/>
          <w:sz w:val="24"/>
        </w:rPr>
        <w:t xml:space="preserve">  </w:t>
      </w:r>
      <w:r w:rsidRPr="005C30C5">
        <w:rPr>
          <w:rFonts w:ascii="Times New Roman" w:hAnsi="Times New Roman"/>
          <w:sz w:val="24"/>
        </w:rPr>
        <w:t xml:space="preserve">This will result in more </w:t>
      </w:r>
      <w:proofErr w:type="gramStart"/>
      <w:r w:rsidRPr="005C30C5">
        <w:rPr>
          <w:rFonts w:ascii="Times New Roman" w:hAnsi="Times New Roman"/>
          <w:sz w:val="24"/>
        </w:rPr>
        <w:t>opportunity</w:t>
      </w:r>
      <w:proofErr w:type="gramEnd"/>
      <w:r w:rsidRPr="005C30C5">
        <w:rPr>
          <w:rFonts w:ascii="Times New Roman" w:hAnsi="Times New Roman"/>
          <w:sz w:val="24"/>
        </w:rPr>
        <w:t xml:space="preserve"> for blind people in Maryland to work and contribute to the economy.</w:t>
      </w:r>
    </w:p>
    <w:p w14:paraId="604AD01C" w14:textId="77777777" w:rsidR="00F50F52" w:rsidRPr="00F50F52" w:rsidRDefault="00F50F52" w:rsidP="00F50F52">
      <w:pPr>
        <w:ind w:left="360"/>
        <w:rPr>
          <w:rFonts w:ascii="Times New Roman" w:hAnsi="Times New Roman"/>
          <w:sz w:val="24"/>
        </w:rPr>
      </w:pPr>
    </w:p>
    <w:p w14:paraId="60E0EC51" w14:textId="039DB951" w:rsidR="00EB5D53" w:rsidRPr="007C20FA" w:rsidRDefault="00EB5D53" w:rsidP="00953B5D">
      <w:pPr>
        <w:pStyle w:val="Heading3"/>
        <w:numPr>
          <w:ilvl w:val="0"/>
          <w:numId w:val="4"/>
        </w:numPr>
        <w:rPr>
          <w:rFonts w:ascii="Times New Roman" w:hAnsi="Times New Roman" w:cs="Times New Roman"/>
          <w:b/>
          <w:bCs/>
          <w:color w:val="auto"/>
        </w:rPr>
      </w:pPr>
      <w:r w:rsidRPr="007C20FA">
        <w:rPr>
          <w:rFonts w:ascii="Times New Roman" w:hAnsi="Times New Roman" w:cs="Times New Roman"/>
          <w:b/>
          <w:bCs/>
          <w:color w:val="auto"/>
        </w:rPr>
        <w:t>Offering Accessibility Boutiques and Other Training Seminars</w:t>
      </w:r>
    </w:p>
    <w:p w14:paraId="5CB64A0E" w14:textId="56B671A0" w:rsidR="00EB5D53" w:rsidRPr="005C30C5" w:rsidRDefault="00EB5D53" w:rsidP="003C6176">
      <w:pPr>
        <w:ind w:left="360"/>
        <w:rPr>
          <w:rFonts w:ascii="Times New Roman" w:hAnsi="Times New Roman"/>
          <w:sz w:val="24"/>
        </w:rPr>
      </w:pPr>
      <w:r w:rsidRPr="005C30C5">
        <w:rPr>
          <w:rFonts w:ascii="Times New Roman" w:hAnsi="Times New Roman"/>
          <w:sz w:val="24"/>
        </w:rPr>
        <w:t xml:space="preserve">Accessibility Boutiques are 90-minute basic overviews/trainings designed to create public awareness of accessible software, products, services, and strategies. </w:t>
      </w:r>
      <w:r w:rsidR="00E517F0">
        <w:rPr>
          <w:rFonts w:ascii="Times New Roman" w:hAnsi="Times New Roman"/>
          <w:sz w:val="24"/>
        </w:rPr>
        <w:t xml:space="preserve"> </w:t>
      </w:r>
      <w:r w:rsidRPr="005C30C5">
        <w:rPr>
          <w:rFonts w:ascii="Times New Roman" w:hAnsi="Times New Roman"/>
          <w:sz w:val="24"/>
        </w:rPr>
        <w:t>Quarterly Trainings are half-day events that offer a more substantive training experience to the participants and address major issues related to nonvisual accessibility.</w:t>
      </w:r>
      <w:r w:rsidR="003C6176">
        <w:rPr>
          <w:rFonts w:ascii="Times New Roman" w:hAnsi="Times New Roman"/>
          <w:sz w:val="24"/>
        </w:rPr>
        <w:t xml:space="preserve">  </w:t>
      </w:r>
      <w:r w:rsidRPr="005C30C5">
        <w:rPr>
          <w:rFonts w:ascii="Times New Roman" w:hAnsi="Times New Roman"/>
          <w:sz w:val="24"/>
        </w:rPr>
        <w:t>With artificial intelligence (AI) changing the nature of technology and society more rapidly than ever, some of these events help keep Marylanders informed about the way AI can be used to provide visual information in a nonvisual way, and to use prompt engineering to generate content that is</w:t>
      </w:r>
      <w:r w:rsidR="00272E14">
        <w:rPr>
          <w:rFonts w:ascii="Times New Roman" w:hAnsi="Times New Roman"/>
          <w:sz w:val="24"/>
        </w:rPr>
        <w:t xml:space="preserve"> both </w:t>
      </w:r>
      <w:r w:rsidRPr="005C30C5">
        <w:rPr>
          <w:rFonts w:ascii="Times New Roman" w:hAnsi="Times New Roman"/>
          <w:sz w:val="24"/>
        </w:rPr>
        <w:t xml:space="preserve">visually engaging </w:t>
      </w:r>
      <w:r w:rsidR="00272E14">
        <w:rPr>
          <w:rFonts w:ascii="Times New Roman" w:hAnsi="Times New Roman"/>
          <w:sz w:val="24"/>
        </w:rPr>
        <w:t xml:space="preserve">and </w:t>
      </w:r>
      <w:r w:rsidRPr="005C30C5">
        <w:rPr>
          <w:rFonts w:ascii="Times New Roman" w:hAnsi="Times New Roman"/>
          <w:sz w:val="24"/>
        </w:rPr>
        <w:t xml:space="preserve">accessible. </w:t>
      </w:r>
    </w:p>
    <w:p w14:paraId="420EB615" w14:textId="77777777" w:rsidR="004227DC" w:rsidRDefault="004227DC" w:rsidP="007C20FA">
      <w:pPr>
        <w:ind w:left="360"/>
        <w:rPr>
          <w:rFonts w:ascii="Times New Roman" w:hAnsi="Times New Roman"/>
          <w:sz w:val="24"/>
        </w:rPr>
      </w:pPr>
    </w:p>
    <w:p w14:paraId="5843D200" w14:textId="6CE2BAB4" w:rsidR="00EB5D53" w:rsidRPr="005C30C5" w:rsidRDefault="00EB5D53" w:rsidP="007C20FA">
      <w:pPr>
        <w:ind w:left="360"/>
        <w:rPr>
          <w:rFonts w:ascii="Times New Roman" w:hAnsi="Times New Roman"/>
          <w:sz w:val="24"/>
        </w:rPr>
      </w:pPr>
      <w:r w:rsidRPr="005C30C5">
        <w:rPr>
          <w:rFonts w:ascii="Times New Roman" w:hAnsi="Times New Roman"/>
          <w:sz w:val="24"/>
        </w:rPr>
        <w:t xml:space="preserve">CENA/MDOD will continue to offer Accessibility Boutiques and Quarterly Trainings, at no cost to Maryland citizens, on topics that assist both laymen and professionals </w:t>
      </w:r>
      <w:r w:rsidR="000C146B">
        <w:rPr>
          <w:rFonts w:ascii="Times New Roman" w:hAnsi="Times New Roman"/>
          <w:sz w:val="24"/>
        </w:rPr>
        <w:t>in</w:t>
      </w:r>
      <w:r w:rsidRPr="005C30C5">
        <w:rPr>
          <w:rFonts w:ascii="Times New Roman" w:hAnsi="Times New Roman"/>
          <w:sz w:val="24"/>
        </w:rPr>
        <w:t xml:space="preserve"> </w:t>
      </w:r>
      <w:r w:rsidR="00452827">
        <w:rPr>
          <w:rFonts w:ascii="Times New Roman" w:hAnsi="Times New Roman"/>
          <w:sz w:val="24"/>
        </w:rPr>
        <w:t>staying</w:t>
      </w:r>
      <w:r w:rsidRPr="005C30C5">
        <w:rPr>
          <w:rFonts w:ascii="Times New Roman" w:hAnsi="Times New Roman"/>
          <w:sz w:val="24"/>
        </w:rPr>
        <w:t xml:space="preserve"> knowledgeable about evolving tools, strategies, and best practices to build a more accessible Maryland. </w:t>
      </w:r>
    </w:p>
    <w:p w14:paraId="3CDC3ED0" w14:textId="77777777" w:rsidR="00EB5D53" w:rsidRPr="005C30C5" w:rsidRDefault="00EB5D53" w:rsidP="00EB5D53">
      <w:pPr>
        <w:rPr>
          <w:rFonts w:ascii="Times New Roman" w:hAnsi="Times New Roman"/>
          <w:sz w:val="24"/>
        </w:rPr>
      </w:pPr>
    </w:p>
    <w:p w14:paraId="68629238" w14:textId="20220B21" w:rsidR="00EB5D53" w:rsidRPr="007C20FA" w:rsidRDefault="00EB5D53" w:rsidP="00953B5D">
      <w:pPr>
        <w:pStyle w:val="Heading3"/>
        <w:numPr>
          <w:ilvl w:val="0"/>
          <w:numId w:val="4"/>
        </w:numPr>
        <w:rPr>
          <w:rFonts w:ascii="Times New Roman" w:hAnsi="Times New Roman" w:cs="Times New Roman"/>
          <w:b/>
          <w:bCs/>
          <w:color w:val="auto"/>
        </w:rPr>
      </w:pPr>
      <w:r w:rsidRPr="007C20FA">
        <w:rPr>
          <w:rFonts w:ascii="Times New Roman" w:hAnsi="Times New Roman" w:cs="Times New Roman"/>
          <w:b/>
          <w:bCs/>
          <w:color w:val="auto"/>
        </w:rPr>
        <w:t>Assisting with the Integration of Smart Technologies for Accessible Cities</w:t>
      </w:r>
      <w:r w:rsidRPr="007C20FA">
        <w:rPr>
          <w:rFonts w:ascii="Times New Roman" w:hAnsi="Times New Roman" w:cs="Times New Roman"/>
          <w:b/>
          <w:bCs/>
          <w:color w:val="auto"/>
        </w:rPr>
        <w:tab/>
      </w:r>
    </w:p>
    <w:p w14:paraId="28905453" w14:textId="7EBE94E3" w:rsidR="00EB5D53" w:rsidRPr="005C30C5" w:rsidRDefault="00EB5D53" w:rsidP="007C20FA">
      <w:pPr>
        <w:ind w:left="360"/>
        <w:rPr>
          <w:rFonts w:ascii="Times New Roman" w:hAnsi="Times New Roman"/>
          <w:sz w:val="24"/>
        </w:rPr>
      </w:pPr>
      <w:r w:rsidRPr="005C30C5">
        <w:rPr>
          <w:rFonts w:ascii="Times New Roman" w:hAnsi="Times New Roman"/>
          <w:sz w:val="24"/>
        </w:rPr>
        <w:t>The development and implementation of accessible, safe, affordable, and efficient transportation allow blind and low-vision Maryland citizens to travel independently throughout their communities.</w:t>
      </w:r>
      <w:r w:rsidR="00F156B2">
        <w:rPr>
          <w:rFonts w:ascii="Times New Roman" w:hAnsi="Times New Roman"/>
          <w:sz w:val="24"/>
        </w:rPr>
        <w:t xml:space="preserve">  </w:t>
      </w:r>
      <w:r w:rsidRPr="005C30C5">
        <w:rPr>
          <w:rFonts w:ascii="Times New Roman" w:hAnsi="Times New Roman"/>
          <w:sz w:val="24"/>
        </w:rPr>
        <w:t xml:space="preserve">In addition, emerging nonvisual access navigation or wayfinding technologies facilitate independent access to a variety of public and commercial venues, including college campuses, public and commercial buildings, and other environments. </w:t>
      </w:r>
      <w:r w:rsidR="006970B1">
        <w:rPr>
          <w:rFonts w:ascii="Times New Roman" w:hAnsi="Times New Roman"/>
          <w:sz w:val="24"/>
        </w:rPr>
        <w:t xml:space="preserve"> </w:t>
      </w:r>
      <w:r w:rsidRPr="005C30C5">
        <w:rPr>
          <w:rFonts w:ascii="Times New Roman" w:hAnsi="Times New Roman"/>
          <w:sz w:val="24"/>
        </w:rPr>
        <w:t>CENA staff ha</w:t>
      </w:r>
      <w:r w:rsidR="00B421CF">
        <w:rPr>
          <w:rFonts w:ascii="Times New Roman" w:hAnsi="Times New Roman"/>
          <w:sz w:val="24"/>
        </w:rPr>
        <w:t>ve</w:t>
      </w:r>
      <w:r w:rsidRPr="005C30C5">
        <w:rPr>
          <w:rFonts w:ascii="Times New Roman" w:hAnsi="Times New Roman"/>
          <w:sz w:val="24"/>
        </w:rPr>
        <w:t xml:space="preserve"> evaluated and collaborated with several indoor wayfinding technology vendors that use a variety of methods for providing information about the indoor environment</w:t>
      </w:r>
      <w:r w:rsidR="002B3C50">
        <w:rPr>
          <w:rFonts w:ascii="Times New Roman" w:hAnsi="Times New Roman"/>
          <w:sz w:val="24"/>
        </w:rPr>
        <w:t>,</w:t>
      </w:r>
      <w:r w:rsidRPr="005C30C5">
        <w:rPr>
          <w:rFonts w:ascii="Times New Roman" w:hAnsi="Times New Roman"/>
          <w:sz w:val="24"/>
        </w:rPr>
        <w:t xml:space="preserve"> including Bluetooth beacons, existing Wi-Fi infrastructure, and camera-based navigation to name a few.</w:t>
      </w:r>
      <w:r w:rsidR="00123D3F">
        <w:rPr>
          <w:rFonts w:ascii="Times New Roman" w:hAnsi="Times New Roman"/>
          <w:sz w:val="24"/>
        </w:rPr>
        <w:t xml:space="preserve">  </w:t>
      </w:r>
      <w:r w:rsidRPr="005C30C5">
        <w:rPr>
          <w:rFonts w:ascii="Times New Roman" w:hAnsi="Times New Roman"/>
          <w:sz w:val="24"/>
        </w:rPr>
        <w:t>CENA will develop and deliver an updated report outlining the current wayfinding technologies, their strengths and weaknesses, infrastructure impact, and other relevant data, which will then be disseminated to interested institutions.</w:t>
      </w:r>
    </w:p>
    <w:p w14:paraId="43FFAFCC" w14:textId="77777777" w:rsidR="00EB5D53" w:rsidRPr="005C30C5" w:rsidRDefault="00EB5D53" w:rsidP="00EB5D53">
      <w:pPr>
        <w:rPr>
          <w:rFonts w:ascii="Times New Roman" w:hAnsi="Times New Roman"/>
          <w:sz w:val="24"/>
        </w:rPr>
      </w:pPr>
    </w:p>
    <w:p w14:paraId="4307EF10" w14:textId="7F1BCC90" w:rsidR="00EB5D53" w:rsidRPr="00084A5F" w:rsidRDefault="00EB5D53" w:rsidP="006E6E6B">
      <w:pPr>
        <w:pStyle w:val="Heading3"/>
        <w:numPr>
          <w:ilvl w:val="0"/>
          <w:numId w:val="4"/>
        </w:numPr>
        <w:rPr>
          <w:rFonts w:ascii="Times New Roman" w:hAnsi="Times New Roman" w:cs="Times New Roman"/>
          <w:b/>
          <w:bCs/>
          <w:color w:val="auto"/>
        </w:rPr>
      </w:pPr>
      <w:r w:rsidRPr="00084A5F">
        <w:rPr>
          <w:rFonts w:ascii="Times New Roman" w:hAnsi="Times New Roman" w:cs="Times New Roman"/>
          <w:b/>
          <w:bCs/>
          <w:color w:val="auto"/>
        </w:rPr>
        <w:t>Coordinating the Accessibility Inclusion Fellowship Program</w:t>
      </w:r>
    </w:p>
    <w:p w14:paraId="226B1D5E" w14:textId="0D431F5D" w:rsidR="00EB5D53" w:rsidRPr="005C30C5" w:rsidRDefault="00EB5D53" w:rsidP="006E6E6B">
      <w:pPr>
        <w:ind w:left="360"/>
        <w:rPr>
          <w:rFonts w:ascii="Times New Roman" w:hAnsi="Times New Roman"/>
          <w:sz w:val="24"/>
        </w:rPr>
      </w:pPr>
      <w:r w:rsidRPr="005C30C5">
        <w:rPr>
          <w:rFonts w:ascii="Times New Roman" w:hAnsi="Times New Roman"/>
          <w:sz w:val="24"/>
        </w:rPr>
        <w:t>The “Final Report of the Study on Accessibility Concepts in Computer Science, Information Systems</w:t>
      </w:r>
      <w:r w:rsidR="00B453B2">
        <w:rPr>
          <w:rFonts w:ascii="Times New Roman" w:hAnsi="Times New Roman"/>
          <w:sz w:val="24"/>
        </w:rPr>
        <w:t>,</w:t>
      </w:r>
      <w:r w:rsidRPr="005C30C5">
        <w:rPr>
          <w:rFonts w:ascii="Times New Roman" w:hAnsi="Times New Roman"/>
          <w:sz w:val="24"/>
        </w:rPr>
        <w:t xml:space="preserve"> and Information Technology Programs in Higher Education” recommended that three annual fellowships be awarded to help instructors begin to include accessibility concepts contained within the minimum areas of instruction in at least one course offering in their institution. </w:t>
      </w:r>
      <w:r w:rsidR="00C753D3">
        <w:rPr>
          <w:rFonts w:ascii="Times New Roman" w:hAnsi="Times New Roman"/>
          <w:sz w:val="24"/>
        </w:rPr>
        <w:t xml:space="preserve"> </w:t>
      </w:r>
      <w:r w:rsidRPr="005C30C5">
        <w:rPr>
          <w:rFonts w:ascii="Times New Roman" w:hAnsi="Times New Roman"/>
          <w:sz w:val="24"/>
        </w:rPr>
        <w:t xml:space="preserve">The CENA/MDOD has offered these fellowships and will continue to recruit and support an additional cohort in the coming year. </w:t>
      </w:r>
    </w:p>
    <w:p w14:paraId="02526FDA" w14:textId="77777777" w:rsidR="00EB5D53" w:rsidRPr="005C30C5" w:rsidRDefault="00EB5D53" w:rsidP="00EB5D53">
      <w:pPr>
        <w:rPr>
          <w:rFonts w:ascii="Times New Roman" w:hAnsi="Times New Roman"/>
          <w:sz w:val="24"/>
        </w:rPr>
      </w:pPr>
    </w:p>
    <w:p w14:paraId="2F99A35C" w14:textId="77777777" w:rsidR="00EB5D53" w:rsidRPr="00764FDC" w:rsidRDefault="00EB5D53" w:rsidP="00764FDC">
      <w:pPr>
        <w:pStyle w:val="Heading2"/>
        <w:rPr>
          <w:rFonts w:ascii="Times New Roman" w:hAnsi="Times New Roman" w:cs="Times New Roman"/>
          <w:sz w:val="24"/>
          <w:szCs w:val="24"/>
        </w:rPr>
      </w:pPr>
      <w:r w:rsidRPr="00764FDC">
        <w:rPr>
          <w:rFonts w:ascii="Times New Roman" w:hAnsi="Times New Roman" w:cs="Times New Roman"/>
          <w:sz w:val="24"/>
          <w:szCs w:val="24"/>
        </w:rPr>
        <w:t>CONCLUSION</w:t>
      </w:r>
    </w:p>
    <w:p w14:paraId="341CDDDC" w14:textId="251D115C" w:rsidR="00EB5D53" w:rsidRPr="005C30C5" w:rsidRDefault="00EB5D53" w:rsidP="00EB5D53">
      <w:pPr>
        <w:spacing w:after="160"/>
        <w:rPr>
          <w:rFonts w:ascii="Times New Roman" w:hAnsi="Times New Roman"/>
          <w:sz w:val="24"/>
        </w:rPr>
      </w:pPr>
      <w:r w:rsidRPr="005C30C5">
        <w:rPr>
          <w:rFonts w:ascii="Times New Roman" w:hAnsi="Times New Roman"/>
          <w:sz w:val="24"/>
        </w:rPr>
        <w:t>Access to information remains one of the greatest barriers faced by blind people, and technology has the potential to reduce th</w:t>
      </w:r>
      <w:r w:rsidR="00387999">
        <w:rPr>
          <w:rFonts w:ascii="Times New Roman" w:hAnsi="Times New Roman"/>
          <w:sz w:val="24"/>
        </w:rPr>
        <w:t>at</w:t>
      </w:r>
      <w:r w:rsidRPr="005C30C5">
        <w:rPr>
          <w:rFonts w:ascii="Times New Roman" w:hAnsi="Times New Roman"/>
          <w:sz w:val="24"/>
        </w:rPr>
        <w:t xml:space="preserve"> barrier dramatically. </w:t>
      </w:r>
      <w:r w:rsidR="00375E25">
        <w:rPr>
          <w:rFonts w:ascii="Times New Roman" w:hAnsi="Times New Roman"/>
          <w:sz w:val="24"/>
        </w:rPr>
        <w:t xml:space="preserve"> </w:t>
      </w:r>
      <w:r w:rsidRPr="005C30C5">
        <w:rPr>
          <w:rFonts w:ascii="Times New Roman" w:hAnsi="Times New Roman"/>
          <w:sz w:val="24"/>
        </w:rPr>
        <w:t>The public-private partnership between the NFB CENA and MDOD makes Maryland a</w:t>
      </w:r>
      <w:r w:rsidR="004008A5">
        <w:rPr>
          <w:rFonts w:ascii="Times New Roman" w:hAnsi="Times New Roman"/>
          <w:sz w:val="24"/>
        </w:rPr>
        <w:t xml:space="preserve"> leader</w:t>
      </w:r>
      <w:r w:rsidR="00A85F7B">
        <w:rPr>
          <w:rFonts w:ascii="Times New Roman" w:hAnsi="Times New Roman"/>
          <w:sz w:val="24"/>
        </w:rPr>
        <w:t xml:space="preserve"> </w:t>
      </w:r>
      <w:r w:rsidR="004008A5">
        <w:rPr>
          <w:rFonts w:ascii="Times New Roman" w:hAnsi="Times New Roman"/>
          <w:sz w:val="24"/>
        </w:rPr>
        <w:t>in</w:t>
      </w:r>
      <w:r w:rsidR="00AC5656">
        <w:rPr>
          <w:rFonts w:ascii="Times New Roman" w:hAnsi="Times New Roman"/>
          <w:sz w:val="24"/>
        </w:rPr>
        <w:t xml:space="preserve"> </w:t>
      </w:r>
      <w:r w:rsidR="005E1AB2">
        <w:rPr>
          <w:rFonts w:ascii="Times New Roman" w:hAnsi="Times New Roman"/>
          <w:sz w:val="24"/>
        </w:rPr>
        <w:t xml:space="preserve">nonvisual </w:t>
      </w:r>
      <w:r w:rsidR="00AC5656">
        <w:rPr>
          <w:rFonts w:ascii="Times New Roman" w:hAnsi="Times New Roman"/>
          <w:sz w:val="24"/>
        </w:rPr>
        <w:t>accessibility</w:t>
      </w:r>
      <w:r w:rsidR="003F0B54">
        <w:rPr>
          <w:rFonts w:ascii="Times New Roman" w:hAnsi="Times New Roman"/>
          <w:sz w:val="24"/>
        </w:rPr>
        <w:t xml:space="preserve"> </w:t>
      </w:r>
      <w:r w:rsidRPr="005C30C5">
        <w:rPr>
          <w:rFonts w:ascii="Times New Roman" w:hAnsi="Times New Roman"/>
          <w:sz w:val="24"/>
        </w:rPr>
        <w:t>and continues to be an effective method of removing these barriers by providing information about best practices and developing innovative techniques for achieving nonvisual access.  The Maryland General Assembly should allow this groundbreaking investment in the capacity</w:t>
      </w:r>
      <w:r w:rsidR="006A054F">
        <w:rPr>
          <w:rFonts w:ascii="Times New Roman" w:hAnsi="Times New Roman"/>
          <w:sz w:val="24"/>
        </w:rPr>
        <w:t>-</w:t>
      </w:r>
      <w:r w:rsidRPr="005C30C5">
        <w:rPr>
          <w:rFonts w:ascii="Times New Roman" w:hAnsi="Times New Roman"/>
          <w:sz w:val="24"/>
        </w:rPr>
        <w:t xml:space="preserve">building of blind Marylanders to continue by approving the $250,000 appropriation in the Governor’s Budget under the Maryland Department of Disabilities. </w:t>
      </w:r>
      <w:bookmarkEnd w:id="0"/>
    </w:p>
    <w:p w14:paraId="52781ECE" w14:textId="77777777" w:rsidR="00EB5D53" w:rsidRPr="005C30C5" w:rsidRDefault="00EB5D53" w:rsidP="00EB5D53">
      <w:pPr>
        <w:rPr>
          <w:rFonts w:ascii="Times New Roman" w:hAnsi="Times New Roman"/>
          <w:sz w:val="24"/>
        </w:rPr>
      </w:pPr>
    </w:p>
    <w:p w14:paraId="29D91F08" w14:textId="6326B07D" w:rsidR="0015028A" w:rsidRPr="00582231" w:rsidRDefault="0015028A" w:rsidP="00582231">
      <w:pPr>
        <w:spacing w:after="160"/>
        <w:rPr>
          <w:rFonts w:ascii="Times New Roman" w:hAnsi="Times New Roman"/>
          <w:sz w:val="24"/>
        </w:rPr>
      </w:pPr>
    </w:p>
    <w:sectPr w:rsidR="0015028A" w:rsidRPr="00582231" w:rsidSect="00444964">
      <w:footerReference w:type="default" r:id="rId9"/>
      <w:headerReference w:type="first" r:id="rId10"/>
      <w:footerReference w:type="first" r:id="rId11"/>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6F21" w14:textId="77777777" w:rsidR="009B1612" w:rsidRDefault="009B1612">
      <w:r>
        <w:separator/>
      </w:r>
    </w:p>
  </w:endnote>
  <w:endnote w:type="continuationSeparator" w:id="0">
    <w:p w14:paraId="4FF95469" w14:textId="77777777" w:rsidR="009B1612" w:rsidRDefault="009B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AB5"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6ADCB025" wp14:editId="2F5E7BA5">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CB025"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89A"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6E3F7B7" wp14:editId="3DA8C2C7">
              <wp:simplePos x="0" y="0"/>
              <wp:positionH relativeFrom="column">
                <wp:posOffset>-342900</wp:posOffset>
              </wp:positionH>
              <wp:positionV relativeFrom="paragraph">
                <wp:posOffset>-68580</wp:posOffset>
              </wp:positionV>
              <wp:extent cx="7277100" cy="530225"/>
              <wp:effectExtent l="0"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296C" w14:textId="0E451876" w:rsidR="00685A26" w:rsidRDefault="00685A26"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1C045F71"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3F7B7" id="_x0000_t202" coordsize="21600,21600" o:spt="202" path="m,l,21600r21600,l21600,xe">
              <v:stroke joinstyle="miter"/>
              <v:path gradientshapeok="t" o:connecttype="rect"/>
            </v:shapetype>
            <v:shape id="_x0000_s1027" type="#_x0000_t202" style="position:absolute;margin-left:-27pt;margin-top:-5.4pt;width:573pt;height: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" filled="f" stroked="f">
              <v:textbox>
                <w:txbxContent>
                  <w:p w14:paraId="6ECE296C" w14:textId="0E451876" w:rsidR="00685A26" w:rsidRDefault="00685A26"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1C045F71"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A156" w14:textId="77777777" w:rsidR="009B1612" w:rsidRDefault="009B1612">
      <w:r>
        <w:separator/>
      </w:r>
    </w:p>
  </w:footnote>
  <w:footnote w:type="continuationSeparator" w:id="0">
    <w:p w14:paraId="3EC0B576" w14:textId="77777777" w:rsidR="009B1612" w:rsidRDefault="009B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77ED" w14:textId="77777777" w:rsidR="00226FA7" w:rsidRDefault="004A25DB">
    <w:pPr>
      <w:pStyle w:val="Header"/>
    </w:pPr>
    <w:r>
      <w:rPr>
        <w:noProof/>
      </w:rPr>
      <w:drawing>
        <wp:anchor distT="0" distB="0" distL="114300" distR="114300" simplePos="0" relativeHeight="251683840" behindDoc="0" locked="0" layoutInCell="1" allowOverlap="1" wp14:anchorId="56BA3AB0" wp14:editId="416A524C">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0780D"/>
    <w:multiLevelType w:val="hybridMultilevel"/>
    <w:tmpl w:val="E36EB2F0"/>
    <w:lvl w:ilvl="0" w:tplc="77E623E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04B3A"/>
    <w:multiLevelType w:val="hybridMultilevel"/>
    <w:tmpl w:val="6EDE99A8"/>
    <w:lvl w:ilvl="0" w:tplc="E520B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53C1A"/>
    <w:multiLevelType w:val="hybridMultilevel"/>
    <w:tmpl w:val="B38ECFBC"/>
    <w:lvl w:ilvl="0" w:tplc="2E444F9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069793">
    <w:abstractNumId w:val="1"/>
  </w:num>
  <w:num w:numId="2" w16cid:durableId="583222316">
    <w:abstractNumId w:val="2"/>
  </w:num>
  <w:num w:numId="3" w16cid:durableId="1285580327">
    <w:abstractNumId w:val="0"/>
  </w:num>
  <w:num w:numId="4" w16cid:durableId="601497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0B48"/>
    <w:rsid w:val="000047AE"/>
    <w:rsid w:val="000165CA"/>
    <w:rsid w:val="00022403"/>
    <w:rsid w:val="0005668C"/>
    <w:rsid w:val="00084A5F"/>
    <w:rsid w:val="000956DD"/>
    <w:rsid w:val="000C146B"/>
    <w:rsid w:val="000D1D66"/>
    <w:rsid w:val="0012078B"/>
    <w:rsid w:val="00122485"/>
    <w:rsid w:val="00123D3F"/>
    <w:rsid w:val="0015028A"/>
    <w:rsid w:val="001B7509"/>
    <w:rsid w:val="001C68D4"/>
    <w:rsid w:val="001D22F0"/>
    <w:rsid w:val="001F1EA7"/>
    <w:rsid w:val="002242C5"/>
    <w:rsid w:val="00225E00"/>
    <w:rsid w:val="00226FA7"/>
    <w:rsid w:val="0024227C"/>
    <w:rsid w:val="00264B45"/>
    <w:rsid w:val="00272E14"/>
    <w:rsid w:val="002828C6"/>
    <w:rsid w:val="00297F84"/>
    <w:rsid w:val="002A1820"/>
    <w:rsid w:val="002A4DFE"/>
    <w:rsid w:val="002B3C50"/>
    <w:rsid w:val="002F0189"/>
    <w:rsid w:val="002F1864"/>
    <w:rsid w:val="002F6D3C"/>
    <w:rsid w:val="0032488D"/>
    <w:rsid w:val="00350A69"/>
    <w:rsid w:val="00351425"/>
    <w:rsid w:val="003554F3"/>
    <w:rsid w:val="003662BA"/>
    <w:rsid w:val="00370E91"/>
    <w:rsid w:val="00372A3A"/>
    <w:rsid w:val="00375E25"/>
    <w:rsid w:val="00387999"/>
    <w:rsid w:val="003B0C38"/>
    <w:rsid w:val="003C6176"/>
    <w:rsid w:val="003D48F9"/>
    <w:rsid w:val="003E278A"/>
    <w:rsid w:val="003F0B54"/>
    <w:rsid w:val="003F265C"/>
    <w:rsid w:val="004008A5"/>
    <w:rsid w:val="0042208C"/>
    <w:rsid w:val="004227DC"/>
    <w:rsid w:val="00444964"/>
    <w:rsid w:val="00452827"/>
    <w:rsid w:val="004A25DB"/>
    <w:rsid w:val="004B634C"/>
    <w:rsid w:val="0050652A"/>
    <w:rsid w:val="00582231"/>
    <w:rsid w:val="00584CF9"/>
    <w:rsid w:val="00585A0C"/>
    <w:rsid w:val="005B5279"/>
    <w:rsid w:val="005C30C5"/>
    <w:rsid w:val="005E1AB2"/>
    <w:rsid w:val="005E2166"/>
    <w:rsid w:val="005E2D85"/>
    <w:rsid w:val="005F3363"/>
    <w:rsid w:val="005F6D84"/>
    <w:rsid w:val="006019DD"/>
    <w:rsid w:val="00603688"/>
    <w:rsid w:val="00620714"/>
    <w:rsid w:val="006357D0"/>
    <w:rsid w:val="006607AF"/>
    <w:rsid w:val="006656BB"/>
    <w:rsid w:val="00685A26"/>
    <w:rsid w:val="00686A30"/>
    <w:rsid w:val="0069124A"/>
    <w:rsid w:val="006970B1"/>
    <w:rsid w:val="006A054F"/>
    <w:rsid w:val="006E32E3"/>
    <w:rsid w:val="006E6E6B"/>
    <w:rsid w:val="006E7EB4"/>
    <w:rsid w:val="00711503"/>
    <w:rsid w:val="007159C9"/>
    <w:rsid w:val="00723B08"/>
    <w:rsid w:val="007256DA"/>
    <w:rsid w:val="00764AA9"/>
    <w:rsid w:val="00764FDC"/>
    <w:rsid w:val="007742DA"/>
    <w:rsid w:val="00796297"/>
    <w:rsid w:val="007A2162"/>
    <w:rsid w:val="007B7F59"/>
    <w:rsid w:val="007C056B"/>
    <w:rsid w:val="007C20FA"/>
    <w:rsid w:val="007C5215"/>
    <w:rsid w:val="007D5527"/>
    <w:rsid w:val="007D63DB"/>
    <w:rsid w:val="007D69BC"/>
    <w:rsid w:val="007F13C8"/>
    <w:rsid w:val="00815623"/>
    <w:rsid w:val="008219F2"/>
    <w:rsid w:val="00830537"/>
    <w:rsid w:val="008702E2"/>
    <w:rsid w:val="00870902"/>
    <w:rsid w:val="008A0266"/>
    <w:rsid w:val="008B19C8"/>
    <w:rsid w:val="008E1D56"/>
    <w:rsid w:val="008E69A8"/>
    <w:rsid w:val="00953B5D"/>
    <w:rsid w:val="009600AD"/>
    <w:rsid w:val="009A2422"/>
    <w:rsid w:val="009B00E6"/>
    <w:rsid w:val="009B1612"/>
    <w:rsid w:val="009D1D64"/>
    <w:rsid w:val="009D63D5"/>
    <w:rsid w:val="009E66FC"/>
    <w:rsid w:val="009F0608"/>
    <w:rsid w:val="00A0100E"/>
    <w:rsid w:val="00A01FB0"/>
    <w:rsid w:val="00A0438A"/>
    <w:rsid w:val="00A10D47"/>
    <w:rsid w:val="00A33F94"/>
    <w:rsid w:val="00A44EC1"/>
    <w:rsid w:val="00A71FD0"/>
    <w:rsid w:val="00A72392"/>
    <w:rsid w:val="00A85F7B"/>
    <w:rsid w:val="00AC5656"/>
    <w:rsid w:val="00AD5E1E"/>
    <w:rsid w:val="00AE75D2"/>
    <w:rsid w:val="00B403AC"/>
    <w:rsid w:val="00B421CF"/>
    <w:rsid w:val="00B422A5"/>
    <w:rsid w:val="00B453B2"/>
    <w:rsid w:val="00B5487D"/>
    <w:rsid w:val="00B64DC6"/>
    <w:rsid w:val="00B75D3F"/>
    <w:rsid w:val="00BA1499"/>
    <w:rsid w:val="00BE2C5A"/>
    <w:rsid w:val="00BE4C15"/>
    <w:rsid w:val="00C04B8E"/>
    <w:rsid w:val="00C25BE5"/>
    <w:rsid w:val="00C270F0"/>
    <w:rsid w:val="00C679ED"/>
    <w:rsid w:val="00C753D3"/>
    <w:rsid w:val="00C855EC"/>
    <w:rsid w:val="00C87AC1"/>
    <w:rsid w:val="00C9515E"/>
    <w:rsid w:val="00CF3A02"/>
    <w:rsid w:val="00D064D6"/>
    <w:rsid w:val="00D17AC2"/>
    <w:rsid w:val="00D253F3"/>
    <w:rsid w:val="00D25CAD"/>
    <w:rsid w:val="00D41CAD"/>
    <w:rsid w:val="00D70E96"/>
    <w:rsid w:val="00D8067A"/>
    <w:rsid w:val="00DA1856"/>
    <w:rsid w:val="00DA72A2"/>
    <w:rsid w:val="00DC665F"/>
    <w:rsid w:val="00E10433"/>
    <w:rsid w:val="00E12559"/>
    <w:rsid w:val="00E36C38"/>
    <w:rsid w:val="00E46AE3"/>
    <w:rsid w:val="00E517F0"/>
    <w:rsid w:val="00E629BE"/>
    <w:rsid w:val="00E7443A"/>
    <w:rsid w:val="00E845A3"/>
    <w:rsid w:val="00E9686D"/>
    <w:rsid w:val="00E97B4A"/>
    <w:rsid w:val="00EA6EAB"/>
    <w:rsid w:val="00EB5D53"/>
    <w:rsid w:val="00EC6483"/>
    <w:rsid w:val="00F000F2"/>
    <w:rsid w:val="00F156B2"/>
    <w:rsid w:val="00F21CC3"/>
    <w:rsid w:val="00F27179"/>
    <w:rsid w:val="00F50F52"/>
    <w:rsid w:val="00F5460C"/>
    <w:rsid w:val="00F77C18"/>
    <w:rsid w:val="00F92F70"/>
    <w:rsid w:val="00FB560C"/>
    <w:rsid w:val="00FD3386"/>
    <w:rsid w:val="00F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2C00"/>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68C"/>
    <w:rPr>
      <w:rFonts w:ascii="Helvetica" w:hAnsi="Helvetica"/>
      <w:sz w:val="28"/>
      <w:szCs w:val="24"/>
    </w:rPr>
  </w:style>
  <w:style w:type="paragraph" w:styleId="Heading1">
    <w:name w:val="heading 1"/>
    <w:basedOn w:val="Normal"/>
    <w:next w:val="Normal"/>
    <w:link w:val="Heading1Char"/>
    <w:qFormat/>
    <w:rsid w:val="00F000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5D53"/>
    <w:pPr>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F77C1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12078B"/>
    <w:pPr>
      <w:ind w:left="720"/>
      <w:contextualSpacing/>
    </w:pPr>
  </w:style>
  <w:style w:type="character" w:customStyle="1" w:styleId="Heading2Char">
    <w:name w:val="Heading 2 Char"/>
    <w:basedOn w:val="DefaultParagraphFont"/>
    <w:link w:val="Heading2"/>
    <w:uiPriority w:val="9"/>
    <w:rsid w:val="00EB5D53"/>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rsid w:val="00F000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F77C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nfbm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B0F9-FDA5-42FE-B6C0-EBC54039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1053</Words>
  <Characters>6387</Characters>
  <Application>Microsoft Office Word</Application>
  <DocSecurity>0</DocSecurity>
  <Lines>103</Lines>
  <Paragraphs>25</Paragraphs>
  <ScaleCrop>false</ScaleCrop>
  <HeadingPairs>
    <vt:vector size="2" baseType="variant">
      <vt:variant>
        <vt:lpstr>Title</vt:lpstr>
      </vt:variant>
      <vt:variant>
        <vt:i4>1</vt:i4>
      </vt:variant>
    </vt:vector>
  </HeadingPairs>
  <TitlesOfParts>
    <vt:vector size="1" baseType="lpstr">
      <vt:lpstr>CENA-NVAI Fact Sheet 2026</vt:lpstr>
    </vt:vector>
  </TitlesOfParts>
  <Company>NFB</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CENA-NVAI Fact Sheet 2026</dc:title>
  <dc:creator>Shaffer, Suzanne</dc:creator>
  <cp:lastModifiedBy>Graham Mehl</cp:lastModifiedBy>
  <cp:revision>4</cp:revision>
  <cp:lastPrinted>2014-05-12T18:17:00Z</cp:lastPrinted>
  <dcterms:created xsi:type="dcterms:W3CDTF">2026-01-06T00:36:00Z</dcterms:created>
  <dcterms:modified xsi:type="dcterms:W3CDTF">2026-01-08T01:45:00Z</dcterms:modified>
</cp:coreProperties>
</file>