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pPr>
    </w:p>
    <w:p>
      <w:pPr>
        <w:pStyle w:val="Normal.0"/>
      </w:pPr>
      <w:r>
        <w:rPr>
          <w:rtl w:val="0"/>
          <w:lang w:val="en-US"/>
        </w:rPr>
        <w:t>Maryland Literacy Rights and Education Act</w:t>
      </w:r>
    </w:p>
    <w:p>
      <w:pPr>
        <w:pStyle w:val="Normal.0"/>
      </w:pPr>
      <w:r>
        <w:rPr>
          <w:rtl w:val="0"/>
          <w:lang w:val="en-US"/>
        </w:rPr>
        <w:t>Education Article</w:t>
      </w:r>
    </w:p>
    <w:p>
      <w:pPr>
        <w:pStyle w:val="Normal.0"/>
      </w:pPr>
      <w:r>
        <w:rPr>
          <w:rtl w:val="0"/>
          <w:lang w:val="en-US"/>
        </w:rPr>
        <w:t>Section 8-408</w:t>
      </w:r>
    </w:p>
    <w:p>
      <w:pPr>
        <w:pStyle w:val="Normal.0"/>
      </w:pPr>
    </w:p>
    <w:p>
      <w:pPr>
        <w:pStyle w:val="Normal.0"/>
        <w:rPr>
          <w:rFonts w:ascii="Times Roman" w:cs="Times Roman" w:hAnsi="Times Roman" w:eastAsia="Times Roman"/>
        </w:rPr>
      </w:pPr>
      <w:r>
        <w:rPr>
          <w:rFonts w:ascii="Times Roman" w:hAnsi="Times Roman"/>
          <w:rtl w:val="0"/>
          <w:lang w:val="en-US"/>
        </w:rPr>
        <w:t>(a) (1) In this section the following words have the meanings indicated.</w:t>
      </w:r>
    </w:p>
    <w:p>
      <w:pPr>
        <w:pStyle w:val="Normal.0"/>
        <w:rPr>
          <w:rFonts w:ascii="Times Roman" w:cs="Times Roman" w:hAnsi="Times Roman" w:eastAsia="Times Roman"/>
          <w:b w:val="1"/>
          <w:bCs w:val="1"/>
          <w:sz w:val="20"/>
          <w:szCs w:val="20"/>
        </w:rPr>
      </w:pPr>
      <w:r>
        <w:rPr>
          <w:rFonts w:ascii="Times Roman" w:hAnsi="Times Roman"/>
          <w:rtl w:val="0"/>
          <w:lang w:val="en-US"/>
        </w:rPr>
        <w:t xml:space="preserve">     (2) "Child who is blind or visually impaired" means a child who:</w:t>
      </w:r>
    </w:p>
    <w:p>
      <w:pPr>
        <w:pStyle w:val="Normal.0"/>
        <w:ind w:left="600" w:firstLine="0"/>
        <w:rPr>
          <w:rFonts w:ascii="Times Roman" w:cs="Times Roman" w:hAnsi="Times Roman" w:eastAsia="Times Roman"/>
        </w:rPr>
      </w:pPr>
      <w:r>
        <w:rPr>
          <w:rFonts w:ascii="Times Roman" w:hAnsi="Times Roman"/>
          <w:rtl w:val="0"/>
          <w:lang w:val="en-US"/>
        </w:rPr>
        <w:t>(i)  Has a visual acuity of 20/200 or less in the better eye with correcting lenses or</w:t>
      </w:r>
    </w:p>
    <w:p>
      <w:pPr>
        <w:pStyle w:val="Normal.0"/>
        <w:ind w:left="600" w:firstLine="0"/>
        <w:rPr>
          <w:rFonts w:ascii="Times Roman" w:cs="Times Roman" w:hAnsi="Times Roman" w:eastAsia="Times Roman"/>
        </w:rPr>
      </w:pPr>
      <w:r>
        <w:rPr>
          <w:rFonts w:ascii="Times Roman" w:hAnsi="Times Roman"/>
          <w:rtl w:val="0"/>
          <w:lang w:val="en-US"/>
        </w:rPr>
        <w:t xml:space="preserve">     has a limited field of vision so that the widest diameter of the visual field</w:t>
      </w:r>
    </w:p>
    <w:p>
      <w:pPr>
        <w:pStyle w:val="Normal.0"/>
        <w:ind w:left="600" w:firstLine="0"/>
        <w:rPr>
          <w:rFonts w:ascii="Times Roman" w:cs="Times Roman" w:hAnsi="Times Roman" w:eastAsia="Times Roman"/>
        </w:rPr>
      </w:pPr>
      <w:r>
        <w:rPr>
          <w:rFonts w:ascii="Times Roman" w:hAnsi="Times Roman"/>
          <w:rtl w:val="0"/>
          <w:lang w:val="en-US"/>
        </w:rPr>
        <w:t xml:space="preserve">     subtends an angle no greater than 20 degrees;</w:t>
      </w:r>
    </w:p>
    <w:p>
      <w:pPr>
        <w:pStyle w:val="Normal.0"/>
        <w:rPr>
          <w:rFonts w:ascii="Times Roman" w:cs="Times Roman" w:hAnsi="Times Roman" w:eastAsia="Times Roman"/>
        </w:rPr>
      </w:pPr>
      <w:r>
        <w:rPr>
          <w:rFonts w:ascii="Times Roman" w:hAnsi="Times Roman"/>
          <w:rtl w:val="0"/>
          <w:lang w:val="en-US"/>
        </w:rPr>
        <w:t xml:space="preserve">          (ii) Has a medically indicated expectation of visual deterioration; or</w:t>
      </w:r>
    </w:p>
    <w:p>
      <w:pPr>
        <w:pStyle w:val="Normal.0"/>
        <w:rPr>
          <w:rFonts w:ascii="Times Roman" w:cs="Times Roman" w:hAnsi="Times Roman" w:eastAsia="Times Roman"/>
        </w:rPr>
      </w:pPr>
      <w:r>
        <w:rPr>
          <w:rFonts w:ascii="Times Roman" w:hAnsi="Times Roman"/>
          <w:rtl w:val="0"/>
          <w:lang w:val="en-US"/>
        </w:rPr>
        <w:t xml:space="preserve">          (iii)Has a medically diagnosed limitation in visual functioning that restricts the</w:t>
      </w:r>
    </w:p>
    <w:p>
      <w:pPr>
        <w:pStyle w:val="Normal.0"/>
        <w:rPr>
          <w:rFonts w:ascii="Times Roman" w:cs="Times Roman" w:hAnsi="Times Roman" w:eastAsia="Times Roman"/>
        </w:rPr>
      </w:pPr>
      <w:r>
        <w:rPr>
          <w:rFonts w:ascii="Times Roman" w:hAnsi="Times Roman"/>
          <w:rtl w:val="0"/>
          <w:lang w:val="en-US"/>
        </w:rPr>
        <w:t xml:space="preserve">                child's ability to read and write standard print at levels expected of other</w:t>
      </w:r>
    </w:p>
    <w:p>
      <w:pPr>
        <w:pStyle w:val="Normal.0"/>
        <w:rPr>
          <w:rFonts w:ascii="Times Roman" w:cs="Times Roman" w:hAnsi="Times Roman" w:eastAsia="Times Roman"/>
        </w:rPr>
      </w:pPr>
      <w:r>
        <w:rPr>
          <w:rFonts w:ascii="Times Roman" w:hAnsi="Times Roman"/>
          <w:rtl w:val="0"/>
          <w:lang w:val="en-US"/>
        </w:rPr>
        <w:t xml:space="preserve">                children of comparable ability and grade level.</w:t>
      </w:r>
    </w:p>
    <w:p>
      <w:pPr>
        <w:pStyle w:val="Normal.0"/>
        <w:rPr>
          <w:rFonts w:ascii="Times Roman" w:cs="Times Roman" w:hAnsi="Times Roman" w:eastAsia="Times Roman"/>
        </w:rPr>
      </w:pPr>
      <w:r>
        <w:rPr>
          <w:rFonts w:ascii="Times Roman" w:hAnsi="Times Roman"/>
          <w:rtl w:val="0"/>
          <w:lang w:val="en-US"/>
        </w:rPr>
        <w:t xml:space="preserve">     (3) "Braille" means the system of reading and writing through touch</w:t>
      </w:r>
    </w:p>
    <w:p>
      <w:pPr>
        <w:pStyle w:val="Normal.0"/>
        <w:rPr>
          <w:rFonts w:ascii="Times Roman" w:cs="Times Roman" w:hAnsi="Times Roman" w:eastAsia="Times Roman"/>
        </w:rPr>
      </w:pPr>
      <w:r>
        <w:rPr>
          <w:rFonts w:ascii="Times Roman" w:hAnsi="Times Roman"/>
          <w:rtl w:val="0"/>
          <w:lang w:val="en-US"/>
        </w:rPr>
        <w:t xml:space="preserve">            commonly known as Standard English [Grade 2] CONTRACTED Braille.</w:t>
      </w:r>
    </w:p>
    <w:p>
      <w:pPr>
        <w:pStyle w:val="Normal.0"/>
        <w:rPr>
          <w:rFonts w:ascii="Times Roman" w:cs="Times Roman" w:hAnsi="Times Roman" w:eastAsia="Times Roman"/>
        </w:rPr>
      </w:pPr>
      <w:r>
        <w:rPr>
          <w:rFonts w:ascii="Times Roman" w:hAnsi="Times Roman"/>
          <w:rtl w:val="0"/>
          <w:lang w:val="en-US"/>
        </w:rPr>
        <w:t xml:space="preserve">     (4) "Individualized education program" and "IEP team" have the same</w:t>
      </w:r>
    </w:p>
    <w:p>
      <w:pPr>
        <w:pStyle w:val="Normal.0"/>
        <w:rPr>
          <w:rFonts w:ascii="Times Roman" w:cs="Times Roman" w:hAnsi="Times Roman" w:eastAsia="Times Roman"/>
        </w:rPr>
      </w:pPr>
      <w:r>
        <w:rPr>
          <w:rFonts w:ascii="Times Roman" w:hAnsi="Times Roman"/>
          <w:rtl w:val="0"/>
          <w:lang w:val="en-US"/>
        </w:rPr>
        <w:t xml:space="preserve">           meaning as provided by the Individuals with Disabilities Education Act        </w:t>
      </w:r>
    </w:p>
    <w:p>
      <w:pPr>
        <w:pStyle w:val="Normal.0"/>
      </w:pPr>
      <w:r>
        <w:rPr>
          <w:rFonts w:ascii="Times Roman" w:hAnsi="Times Roman"/>
          <w:rtl w:val="0"/>
          <w:lang w:val="en-US"/>
        </w:rPr>
        <w:t xml:space="preserve">           Amendments of 1997, P.L. 105-17, Section 614(d).</w:t>
      </w:r>
    </w:p>
    <w:p>
      <w:pPr>
        <w:pStyle w:val="Normal.0"/>
        <w:rPr>
          <w:rFonts w:ascii="Times Roman" w:cs="Times Roman" w:hAnsi="Times Roman" w:eastAsia="Times Roman"/>
        </w:rPr>
      </w:pPr>
      <w:r>
        <w:rPr>
          <w:rFonts w:ascii="Times Roman" w:hAnsi="Times Roman"/>
          <w:rtl w:val="0"/>
          <w:lang w:val="en-US"/>
        </w:rPr>
        <w:t>(b) (1) In developing the individualized education program for a child who is</w:t>
      </w:r>
    </w:p>
    <w:p>
      <w:pPr>
        <w:pStyle w:val="Normal.0"/>
        <w:rPr>
          <w:rFonts w:ascii="Times Roman" w:cs="Times Roman" w:hAnsi="Times Roman" w:eastAsia="Times Roman"/>
        </w:rPr>
      </w:pPr>
      <w:r>
        <w:rPr>
          <w:rFonts w:ascii="Times Roman" w:hAnsi="Times Roman"/>
          <w:rtl w:val="0"/>
          <w:lang w:val="en-US"/>
        </w:rPr>
        <w:t xml:space="preserve">           blind or visually impaired, provisions shall be made for instruction in braille and </w:t>
      </w:r>
    </w:p>
    <w:p>
      <w:pPr>
        <w:pStyle w:val="Normal.0"/>
        <w:rPr>
          <w:rFonts w:ascii="Times Roman" w:cs="Times Roman" w:hAnsi="Times Roman" w:eastAsia="Times Roman"/>
        </w:rPr>
      </w:pPr>
      <w:r>
        <w:rPr>
          <w:rFonts w:ascii="Times Roman" w:hAnsi="Times Roman"/>
          <w:rtl w:val="0"/>
          <w:lang w:val="en-US"/>
        </w:rPr>
        <w:t xml:space="preserve">           the use of braille unless the IEP team determines, after an evaluation of the child's</w:t>
      </w:r>
    </w:p>
    <w:p>
      <w:pPr>
        <w:pStyle w:val="Normal.0"/>
        <w:rPr>
          <w:rFonts w:ascii="Times Roman" w:cs="Times Roman" w:hAnsi="Times Roman" w:eastAsia="Times Roman"/>
        </w:rPr>
      </w:pPr>
      <w:r>
        <w:rPr>
          <w:rFonts w:ascii="Times Roman" w:hAnsi="Times Roman"/>
          <w:rtl w:val="0"/>
          <w:lang w:val="en-US"/>
        </w:rPr>
        <w:t xml:space="preserve">           reading and writing skills, needs, and appropriate reading and writing media,</w:t>
      </w:r>
    </w:p>
    <w:p>
      <w:pPr>
        <w:pStyle w:val="Normal.0"/>
        <w:rPr>
          <w:rFonts w:ascii="Times Roman" w:cs="Times Roman" w:hAnsi="Times Roman" w:eastAsia="Times Roman"/>
        </w:rPr>
      </w:pPr>
      <w:r>
        <w:rPr>
          <w:rFonts w:ascii="Times Roman" w:hAnsi="Times Roman"/>
          <w:rtl w:val="0"/>
          <w:lang w:val="en-US"/>
        </w:rPr>
        <w:t xml:space="preserve">           including an evaluation of the child's future needs for instruction in braille or the </w:t>
      </w:r>
    </w:p>
    <w:p>
      <w:pPr>
        <w:pStyle w:val="Normal.0"/>
        <w:rPr>
          <w:rFonts w:ascii="Times Roman" w:cs="Times Roman" w:hAnsi="Times Roman" w:eastAsia="Times Roman"/>
        </w:rPr>
      </w:pPr>
      <w:r>
        <w:rPr>
          <w:rFonts w:ascii="Times Roman" w:hAnsi="Times Roman"/>
          <w:rtl w:val="0"/>
          <w:lang w:val="en-US"/>
        </w:rPr>
        <w:t xml:space="preserve">           use of braille, that such instruction or use is not appropriate for the child.</w:t>
      </w:r>
    </w:p>
    <w:p>
      <w:pPr>
        <w:pStyle w:val="Normal.0"/>
        <w:rPr>
          <w:rFonts w:ascii="Times Roman" w:cs="Times Roman" w:hAnsi="Times Roman" w:eastAsia="Times Roman"/>
        </w:rPr>
      </w:pPr>
      <w:r>
        <w:rPr>
          <w:rFonts w:ascii="Times Roman" w:hAnsi="Times Roman"/>
          <w:rtl w:val="0"/>
          <w:lang w:val="en-US"/>
        </w:rPr>
        <w:t xml:space="preserve">      (2) A child may not be denied the opportunity for instruction in braille</w:t>
      </w:r>
    </w:p>
    <w:p>
      <w:pPr>
        <w:pStyle w:val="Normal.0"/>
        <w:rPr>
          <w:rFonts w:ascii="Times Roman" w:cs="Times Roman" w:hAnsi="Times Roman" w:eastAsia="Times Roman"/>
        </w:rPr>
      </w:pPr>
      <w:r>
        <w:rPr>
          <w:rFonts w:ascii="Times Roman" w:hAnsi="Times Roman"/>
          <w:rtl w:val="0"/>
          <w:lang w:val="en-US"/>
        </w:rPr>
        <w:t xml:space="preserve">          reading and writing solely because the child has some remaining vision.</w:t>
      </w:r>
    </w:p>
    <w:p>
      <w:pPr>
        <w:pStyle w:val="Normal.0"/>
        <w:rPr>
          <w:rFonts w:ascii="Times Roman" w:cs="Times Roman" w:hAnsi="Times Roman" w:eastAsia="Times Roman"/>
        </w:rPr>
      </w:pPr>
      <w:r>
        <w:rPr>
          <w:rFonts w:ascii="Times Roman" w:hAnsi="Times Roman"/>
          <w:rtl w:val="0"/>
          <w:lang w:val="en-US"/>
        </w:rPr>
        <w:t xml:space="preserve">      (3) This section does not require the exclusive use of braille if other</w:t>
      </w:r>
    </w:p>
    <w:p>
      <w:pPr>
        <w:pStyle w:val="Normal.0"/>
        <w:rPr>
          <w:rFonts w:ascii="Times Roman" w:cs="Times Roman" w:hAnsi="Times Roman" w:eastAsia="Times Roman"/>
        </w:rPr>
      </w:pPr>
      <w:r>
        <w:rPr>
          <w:rFonts w:ascii="Times Roman" w:hAnsi="Times Roman"/>
          <w:rtl w:val="0"/>
          <w:lang w:val="en-US"/>
        </w:rPr>
        <w:t xml:space="preserve">           reading and writing media are appropriate to the child's educational needs. The use  </w:t>
      </w:r>
    </w:p>
    <w:p>
      <w:pPr>
        <w:pStyle w:val="Normal.0"/>
        <w:rPr>
          <w:rFonts w:ascii="Times Roman" w:cs="Times Roman" w:hAnsi="Times Roman" w:eastAsia="Times Roman"/>
        </w:rPr>
      </w:pPr>
      <w:r>
        <w:rPr>
          <w:rFonts w:ascii="Times Roman" w:hAnsi="Times Roman"/>
          <w:rtl w:val="0"/>
          <w:lang w:val="en-US"/>
        </w:rPr>
        <w:t xml:space="preserve">          of other reading and writing media does not preclude the use of braille or the  </w:t>
      </w:r>
    </w:p>
    <w:p>
      <w:pPr>
        <w:pStyle w:val="Normal.0"/>
        <w:rPr>
          <w:rFonts w:ascii="Times Roman" w:cs="Times Roman" w:hAnsi="Times Roman" w:eastAsia="Times Roman"/>
        </w:rPr>
      </w:pPr>
      <w:r>
        <w:rPr>
          <w:rFonts w:ascii="Times Roman" w:hAnsi="Times Roman"/>
          <w:rtl w:val="0"/>
          <w:lang w:val="en-US"/>
        </w:rPr>
        <w:t xml:space="preserve">          instruction of braille.</w:t>
      </w:r>
    </w:p>
    <w:p>
      <w:pPr>
        <w:pStyle w:val="Normal.0"/>
        <w:rPr>
          <w:rFonts w:ascii="Times Roman" w:cs="Times Roman" w:hAnsi="Times Roman" w:eastAsia="Times Roman"/>
        </w:rPr>
      </w:pPr>
    </w:p>
    <w:p>
      <w:pPr>
        <w:pStyle w:val="Normal.0"/>
        <w:rPr>
          <w:rFonts w:ascii="Times Roman" w:cs="Times Roman" w:hAnsi="Times Roman" w:eastAsia="Times Roman"/>
        </w:rPr>
      </w:pPr>
      <w:r>
        <w:rPr>
          <w:rFonts w:ascii="Times Roman" w:hAnsi="Times Roman"/>
          <w:rtl w:val="0"/>
          <w:lang w:val="en-US"/>
        </w:rPr>
        <w:t>(c)       For the purpose of achieving successful implementation of this section, the</w:t>
      </w:r>
    </w:p>
    <w:p>
      <w:pPr>
        <w:pStyle w:val="Normal.0"/>
        <w:rPr>
          <w:rFonts w:ascii="Times Roman" w:cs="Times Roman" w:hAnsi="Times Roman" w:eastAsia="Times Roman"/>
        </w:rPr>
      </w:pPr>
      <w:r>
        <w:rPr>
          <w:rFonts w:ascii="Times Roman" w:hAnsi="Times Roman"/>
          <w:rtl w:val="0"/>
          <w:lang w:val="en-US"/>
        </w:rPr>
        <w:t xml:space="preserve"> State Board and the Professional Standards and Teacher Education Board shall adopt</w:t>
      </w:r>
    </w:p>
    <w:p>
      <w:pPr>
        <w:pStyle w:val="Normal.0"/>
      </w:pPr>
      <w:r>
        <w:rPr>
          <w:rFonts w:ascii="Times Roman" w:hAnsi="Times Roman"/>
          <w:rtl w:val="0"/>
          <w:lang w:val="en-US"/>
        </w:rPr>
        <w:t xml:space="preserve"> certification standards for teachers of blind and visually impaired students.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